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D" w:rsidRPr="00064A9D" w:rsidRDefault="00AD6048" w:rsidP="00064A9D">
      <w:pPr>
        <w:pBdr>
          <w:bottom w:val="single" w:sz="18" w:space="1" w:color="FF0000"/>
        </w:pBdr>
        <w:rPr>
          <w:b/>
          <w:i/>
          <w:sz w:val="36"/>
          <w:lang w:val="en-NZ"/>
        </w:rPr>
      </w:pPr>
      <w:r>
        <w:rPr>
          <w:b/>
          <w:sz w:val="36"/>
          <w:lang w:val="en-NZ"/>
        </w:rPr>
        <w:t>Advisory Group and Liaison</w:t>
      </w:r>
      <w:r w:rsidR="00384A60">
        <w:rPr>
          <w:b/>
          <w:sz w:val="36"/>
          <w:lang w:val="en-NZ"/>
        </w:rPr>
        <w:t xml:space="preserve"> </w:t>
      </w:r>
      <w:r w:rsidR="00064A9D" w:rsidRPr="00064A9D">
        <w:rPr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6E652AC" wp14:editId="4CFE4FA6">
            <wp:simplePos x="0" y="0"/>
            <wp:positionH relativeFrom="column">
              <wp:posOffset>5376545</wp:posOffset>
            </wp:positionH>
            <wp:positionV relativeFrom="paragraph">
              <wp:posOffset>-548005</wp:posOffset>
            </wp:positionV>
            <wp:extent cx="828675" cy="990600"/>
            <wp:effectExtent l="19050" t="0" r="9525" b="0"/>
            <wp:wrapNone/>
            <wp:docPr id="1" name="Picture 0" descr="cp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lang w:val="en-NZ"/>
        </w:rPr>
        <w:t>Members</w:t>
      </w:r>
    </w:p>
    <w:p w:rsidR="00064A9D" w:rsidRPr="00064A9D" w:rsidRDefault="000C33D6" w:rsidP="00064A9D">
      <w:pPr>
        <w:rPr>
          <w:b/>
          <w:sz w:val="36"/>
          <w:lang w:val="en-NZ"/>
        </w:rPr>
      </w:pPr>
      <w:r>
        <w:rPr>
          <w:b/>
          <w:sz w:val="28"/>
          <w:lang w:val="en-NZ"/>
        </w:rPr>
        <w:t>Role</w:t>
      </w:r>
      <w:r w:rsidR="00064A9D" w:rsidRPr="00064A9D">
        <w:rPr>
          <w:b/>
          <w:sz w:val="28"/>
          <w:lang w:val="en-NZ"/>
        </w:rPr>
        <w:t xml:space="preserve"> Description</w:t>
      </w:r>
      <w:r w:rsidR="00064A9D" w:rsidRPr="00064A9D">
        <w:rPr>
          <w:b/>
          <w:sz w:val="36"/>
          <w:lang w:val="en-NZ"/>
        </w:rPr>
        <w:tab/>
      </w:r>
    </w:p>
    <w:p w:rsidR="007F7EDB" w:rsidRDefault="007F7EDB" w:rsidP="00AE256E">
      <w:pPr>
        <w:rPr>
          <w:b/>
          <w:caps/>
          <w:color w:val="FF0000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D33A63" w:rsidRPr="00D33A63" w:rsidTr="000A2152">
        <w:tc>
          <w:tcPr>
            <w:tcW w:w="1951" w:type="dxa"/>
          </w:tcPr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  <w:r w:rsidRPr="00D33A63">
              <w:rPr>
                <w:b/>
                <w:color w:val="FF0000"/>
                <w:lang w:val="en-NZ"/>
              </w:rPr>
              <w:t>FUNCTION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D33A63" w:rsidRDefault="00AD6048" w:rsidP="00D33A63">
            <w:pPr>
              <w:rPr>
                <w:lang w:val="en-NZ"/>
              </w:rPr>
            </w:pPr>
            <w:r>
              <w:rPr>
                <w:lang w:val="en-NZ"/>
              </w:rPr>
              <w:t>Advisory groups represent key stakeholder groups that may be affected by an emergency event who may require particular support or engagement</w:t>
            </w:r>
            <w:r w:rsidR="00384A60">
              <w:rPr>
                <w:lang w:val="en-NZ"/>
              </w:rPr>
              <w:t>.</w:t>
            </w:r>
            <w:r>
              <w:rPr>
                <w:lang w:val="en-NZ"/>
              </w:rPr>
              <w:t xml:space="preserve"> Liaison members typically represent another organisation with specialist or organisational responsibility or ability who </w:t>
            </w:r>
            <w:proofErr w:type="gramStart"/>
            <w:r>
              <w:rPr>
                <w:lang w:val="en-NZ"/>
              </w:rPr>
              <w:t>liaise</w:t>
            </w:r>
            <w:proofErr w:type="gramEnd"/>
            <w:r>
              <w:rPr>
                <w:lang w:val="en-NZ"/>
              </w:rPr>
              <w:t xml:space="preserve"> with one or more groups involved in the emergency response.</w:t>
            </w:r>
          </w:p>
          <w:p w:rsidR="00D33A63" w:rsidRPr="00D33A63" w:rsidRDefault="00D33A63" w:rsidP="00D33A63"/>
        </w:tc>
      </w:tr>
      <w:tr w:rsidR="00D33A63" w:rsidRPr="00D33A63" w:rsidTr="000A2152">
        <w:tc>
          <w:tcPr>
            <w:tcW w:w="1951" w:type="dxa"/>
          </w:tcPr>
          <w:p w:rsidR="00D33A63" w:rsidRPr="00E342AE" w:rsidRDefault="00D33A63" w:rsidP="00D33A63">
            <w:pPr>
              <w:rPr>
                <w:b/>
                <w:caps/>
                <w:color w:val="FF0000"/>
                <w:lang w:val="en-NZ"/>
              </w:rPr>
            </w:pPr>
            <w:r w:rsidRPr="00E342AE">
              <w:rPr>
                <w:b/>
                <w:caps/>
                <w:color w:val="FF0000"/>
                <w:lang w:val="en-NZ"/>
              </w:rPr>
              <w:t>Reports to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D33A63" w:rsidRPr="00D33A63" w:rsidRDefault="00D33A63" w:rsidP="00D33A63">
            <w:r>
              <w:t>Primary Care Controller</w:t>
            </w:r>
            <w:r w:rsidR="00AD6048">
              <w:t xml:space="preserve"> and EOC Coordinator</w:t>
            </w:r>
          </w:p>
        </w:tc>
      </w:tr>
      <w:tr w:rsidR="00D33A63" w:rsidRPr="00D33A63" w:rsidTr="000A2152">
        <w:tc>
          <w:tcPr>
            <w:tcW w:w="1951" w:type="dxa"/>
          </w:tcPr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  <w:r w:rsidRPr="00D33A63">
              <w:rPr>
                <w:b/>
                <w:color w:val="FF0000"/>
                <w:lang w:val="en-NZ"/>
              </w:rPr>
              <w:t>RELATIONSHIPS</w:t>
            </w:r>
          </w:p>
        </w:tc>
        <w:tc>
          <w:tcPr>
            <w:tcW w:w="7335" w:type="dxa"/>
          </w:tcPr>
          <w:p w:rsidR="00D33A63" w:rsidRPr="00D33A63" w:rsidRDefault="00D33A63" w:rsidP="00D33A63">
            <w:pPr>
              <w:rPr>
                <w:b/>
              </w:rPr>
            </w:pPr>
            <w:r w:rsidRPr="00D33A63">
              <w:rPr>
                <w:b/>
              </w:rPr>
              <w:t>Internal</w:t>
            </w:r>
          </w:p>
          <w:p w:rsidR="00D33A63" w:rsidRDefault="00D33A63" w:rsidP="00D33A63">
            <w:pPr>
              <w:pStyle w:val="Bullet1"/>
            </w:pPr>
            <w:r>
              <w:t>Primary Care Controller</w:t>
            </w:r>
          </w:p>
          <w:p w:rsidR="00D33A63" w:rsidRDefault="00D33A63" w:rsidP="00D33A63">
            <w:pPr>
              <w:pStyle w:val="Bullet1"/>
            </w:pPr>
            <w:r>
              <w:t>Comms</w:t>
            </w:r>
          </w:p>
          <w:p w:rsidR="00384A60" w:rsidRDefault="00384A60" w:rsidP="00D33A63">
            <w:pPr>
              <w:pStyle w:val="Bullet1"/>
            </w:pPr>
            <w:r>
              <w:t>EOC Coordinator</w:t>
            </w:r>
          </w:p>
          <w:p w:rsidR="00AD6048" w:rsidRPr="00D33A63" w:rsidRDefault="00AD6048" w:rsidP="00D33A63">
            <w:pPr>
              <w:pStyle w:val="Bullet1"/>
            </w:pPr>
            <w:r>
              <w:t>Recovery Manager</w:t>
            </w:r>
          </w:p>
          <w:p w:rsidR="00D33A63" w:rsidRDefault="00AD6048" w:rsidP="00D33A63">
            <w:pPr>
              <w:pStyle w:val="Bullet1"/>
            </w:pPr>
            <w:r>
              <w:t>Other c</w:t>
            </w:r>
            <w:r w:rsidR="00D33A63">
              <w:t>linical and non-clinical advisors</w:t>
            </w:r>
          </w:p>
          <w:p w:rsidR="00AD6048" w:rsidRDefault="00AD6048" w:rsidP="00D33A63">
            <w:pPr>
              <w:pStyle w:val="Bullet1"/>
            </w:pPr>
            <w:r>
              <w:t>Parent organisations or representative groups</w:t>
            </w:r>
          </w:p>
          <w:p w:rsidR="00D33A63" w:rsidRPr="00D33A63" w:rsidRDefault="00D33A63" w:rsidP="00D33A63"/>
          <w:p w:rsidR="00D33A63" w:rsidRPr="00D33A63" w:rsidRDefault="00D33A63" w:rsidP="00D33A63">
            <w:pPr>
              <w:rPr>
                <w:b/>
              </w:rPr>
            </w:pPr>
            <w:r w:rsidRPr="00D33A63">
              <w:rPr>
                <w:b/>
              </w:rPr>
              <w:t>External</w:t>
            </w:r>
          </w:p>
          <w:p w:rsidR="00D33A63" w:rsidRDefault="00931865" w:rsidP="00D33A63">
            <w:pPr>
              <w:pStyle w:val="Bullet1"/>
            </w:pPr>
            <w:r>
              <w:t>CDHB EC</w:t>
            </w:r>
            <w:r w:rsidR="00D33A63">
              <w:t>C</w:t>
            </w:r>
            <w:bookmarkStart w:id="0" w:name="_GoBack"/>
            <w:bookmarkEnd w:id="0"/>
          </w:p>
          <w:p w:rsidR="00D33A63" w:rsidRDefault="00D33A63" w:rsidP="00D33A63">
            <w:pPr>
              <w:pStyle w:val="Bullet1"/>
            </w:pPr>
            <w:r>
              <w:t>City Council EOC</w:t>
            </w:r>
          </w:p>
          <w:p w:rsidR="00931865" w:rsidRDefault="00931865" w:rsidP="00D33A63">
            <w:pPr>
              <w:pStyle w:val="Bullet1"/>
            </w:pPr>
            <w:r>
              <w:t>NGOs</w:t>
            </w:r>
          </w:p>
          <w:p w:rsidR="00D33A63" w:rsidRDefault="00AD6048" w:rsidP="00D33A63">
            <w:pPr>
              <w:pStyle w:val="Bullet1"/>
            </w:pPr>
            <w:r>
              <w:t>Wider community and general public</w:t>
            </w:r>
          </w:p>
          <w:p w:rsidR="00D33A63" w:rsidRPr="00D33A63" w:rsidRDefault="00D33A63" w:rsidP="00D33A63"/>
        </w:tc>
      </w:tr>
      <w:tr w:rsidR="00D33A63" w:rsidRPr="00D33A63" w:rsidTr="000A2152">
        <w:tc>
          <w:tcPr>
            <w:tcW w:w="1951" w:type="dxa"/>
          </w:tcPr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  <w:r w:rsidRPr="00D33A63">
              <w:rPr>
                <w:b/>
                <w:color w:val="FF0000"/>
                <w:lang w:val="en-NZ"/>
              </w:rPr>
              <w:t>KEY TASKS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384A60" w:rsidRDefault="00AD6048" w:rsidP="00D33A63">
            <w:pPr>
              <w:pStyle w:val="Bullet1"/>
            </w:pPr>
            <w:r>
              <w:t>Provide specialist advice to the Primary Care Controller and EOC team on matters within their field of specialist expertise.</w:t>
            </w:r>
          </w:p>
          <w:p w:rsidR="00AD6048" w:rsidRDefault="00AD6048" w:rsidP="00D33A63">
            <w:pPr>
              <w:pStyle w:val="Bullet1"/>
            </w:pPr>
            <w:r>
              <w:t>Assist in developing appropriate response options that will impact on specific areas of the primary health care community.</w:t>
            </w:r>
          </w:p>
          <w:p w:rsidR="00931865" w:rsidRDefault="00931865" w:rsidP="00D33A63">
            <w:pPr>
              <w:pStyle w:val="Bullet1"/>
            </w:pPr>
            <w:r>
              <w:t xml:space="preserve">Communicate to and from their constituent groups in an emergency. </w:t>
            </w:r>
          </w:p>
          <w:p w:rsidR="00AD6048" w:rsidRDefault="00AD6048" w:rsidP="00D33A63">
            <w:pPr>
              <w:pStyle w:val="Bullet1"/>
            </w:pPr>
            <w:r>
              <w:t>Attend EOC briefing and planning sessions as required.</w:t>
            </w:r>
          </w:p>
          <w:p w:rsidR="00AD6048" w:rsidRPr="00DD0DDF" w:rsidRDefault="00AD6048" w:rsidP="00AD6048">
            <w:pPr>
              <w:pStyle w:val="Bullet1"/>
              <w:numPr>
                <w:ilvl w:val="0"/>
                <w:numId w:val="0"/>
              </w:numPr>
              <w:ind w:left="425"/>
            </w:pPr>
          </w:p>
          <w:p w:rsidR="00D33A63" w:rsidRPr="00D33A63" w:rsidRDefault="00D33A63" w:rsidP="00D33A63"/>
        </w:tc>
      </w:tr>
      <w:tr w:rsidR="00D33A63" w:rsidRPr="00D33A63" w:rsidTr="000A2152">
        <w:tc>
          <w:tcPr>
            <w:tcW w:w="1951" w:type="dxa"/>
          </w:tcPr>
          <w:p w:rsidR="00D33A63" w:rsidRPr="00D33A63" w:rsidRDefault="00AD6048" w:rsidP="00AD6048">
            <w:pPr>
              <w:jc w:val="left"/>
              <w:rPr>
                <w:b/>
                <w:color w:val="FF0000"/>
                <w:lang w:val="en-NZ"/>
              </w:rPr>
            </w:pPr>
            <w:r>
              <w:rPr>
                <w:b/>
                <w:color w:val="FF0000"/>
                <w:lang w:val="en-NZ"/>
              </w:rPr>
              <w:t>SUGGESTED ADVISORS AND LIAISONS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AD6048" w:rsidRDefault="00AD6048" w:rsidP="00AD6048">
            <w:r>
              <w:t>Representatives from organisations may include (but are not limited to):</w:t>
            </w:r>
          </w:p>
          <w:p w:rsidR="00D33A63" w:rsidRDefault="00AD6048" w:rsidP="00AD6048">
            <w:pPr>
              <w:pStyle w:val="Bullet1"/>
            </w:pPr>
            <w:r>
              <w:t>District/community nursing</w:t>
            </w:r>
          </w:p>
          <w:p w:rsidR="00AD6048" w:rsidRDefault="00AD6048" w:rsidP="00AD6048">
            <w:pPr>
              <w:pStyle w:val="Bullet1"/>
            </w:pPr>
            <w:r>
              <w:t>Community pharmacy</w:t>
            </w:r>
          </w:p>
          <w:p w:rsidR="00AD6048" w:rsidRDefault="00AD6048" w:rsidP="00AD6048">
            <w:pPr>
              <w:pStyle w:val="Bullet1"/>
            </w:pPr>
            <w:r>
              <w:t>Rural health</w:t>
            </w:r>
          </w:p>
          <w:p w:rsidR="00AD6048" w:rsidRDefault="00AD6048" w:rsidP="00AD6048">
            <w:pPr>
              <w:pStyle w:val="Bullet1"/>
            </w:pPr>
            <w:r>
              <w:t>Infectious disease (depending on the nature of the event)</w:t>
            </w:r>
          </w:p>
          <w:p w:rsidR="00AD6048" w:rsidRDefault="00AD6048" w:rsidP="00AD6048">
            <w:pPr>
              <w:pStyle w:val="Bullet1"/>
            </w:pPr>
            <w:r>
              <w:t xml:space="preserve">St John Ambulance </w:t>
            </w:r>
          </w:p>
          <w:p w:rsidR="00931865" w:rsidRDefault="00931865" w:rsidP="00AD6048">
            <w:pPr>
              <w:pStyle w:val="Bullet1"/>
            </w:pPr>
            <w:r>
              <w:t>Maori, Pacifika, and Culturally and Linguistically Diverse (CALD) communities</w:t>
            </w:r>
          </w:p>
          <w:p w:rsidR="00AD6048" w:rsidRDefault="00AD6048" w:rsidP="00AD6048">
            <w:pPr>
              <w:pStyle w:val="Bullet1"/>
            </w:pPr>
            <w:r>
              <w:t>Media and news</w:t>
            </w:r>
          </w:p>
          <w:p w:rsidR="00AD6048" w:rsidRPr="00D33A63" w:rsidRDefault="00AD6048" w:rsidP="00AD6048"/>
        </w:tc>
      </w:tr>
    </w:tbl>
    <w:p w:rsidR="00EB5BCA" w:rsidRPr="00DD390F" w:rsidRDefault="00EB5BCA" w:rsidP="00D33A63">
      <w:pPr>
        <w:rPr>
          <w:lang w:val="en-NZ"/>
        </w:rPr>
      </w:pPr>
    </w:p>
    <w:sectPr w:rsidR="00EB5BCA" w:rsidRPr="00DD390F" w:rsidSect="00DF4D08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60" w:rsidRDefault="00384A60">
      <w:r>
        <w:separator/>
      </w:r>
    </w:p>
  </w:endnote>
  <w:endnote w:type="continuationSeparator" w:id="0">
    <w:p w:rsidR="00384A60" w:rsidRDefault="003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60" w:rsidRPr="00397ECC" w:rsidRDefault="00EE141F" w:rsidP="00397ECC">
    <w:pPr>
      <w:pStyle w:val="Footer"/>
      <w:tabs>
        <w:tab w:val="clear" w:pos="4320"/>
        <w:tab w:val="clear" w:pos="864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C672AD">
      <w:rPr>
        <w:noProof/>
      </w:rPr>
      <w:t>Advisory Group and Liaison Members Description_2017 11.docx</w:t>
    </w:r>
    <w:r>
      <w:rPr>
        <w:noProof/>
      </w:rPr>
      <w:fldChar w:fldCharType="end"/>
    </w:r>
    <w:r w:rsidR="00384A60" w:rsidRPr="00397ECC">
      <w:tab/>
      <w:t xml:space="preserve">Page </w:t>
    </w:r>
    <w:r w:rsidR="00384A60">
      <w:fldChar w:fldCharType="begin"/>
    </w:r>
    <w:r w:rsidR="00384A60">
      <w:instrText xml:space="preserve"> PAGE </w:instrText>
    </w:r>
    <w:r w:rsidR="00384A60">
      <w:fldChar w:fldCharType="separate"/>
    </w:r>
    <w:r w:rsidR="00C672AD">
      <w:rPr>
        <w:noProof/>
      </w:rPr>
      <w:t>1</w:t>
    </w:r>
    <w:r w:rsidR="00384A60">
      <w:rPr>
        <w:noProof/>
      </w:rPr>
      <w:fldChar w:fldCharType="end"/>
    </w:r>
    <w:r w:rsidR="00384A60" w:rsidRPr="00397ECC">
      <w:t xml:space="preserve"> of </w:t>
    </w:r>
    <w:r w:rsidR="00384A60">
      <w:fldChar w:fldCharType="begin"/>
    </w:r>
    <w:r w:rsidR="00384A60">
      <w:instrText xml:space="preserve"> NUMPAGES </w:instrText>
    </w:r>
    <w:r w:rsidR="00384A60">
      <w:fldChar w:fldCharType="separate"/>
    </w:r>
    <w:r w:rsidR="00C672AD">
      <w:rPr>
        <w:noProof/>
      </w:rPr>
      <w:t>1</w:t>
    </w:r>
    <w:r w:rsidR="00384A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60" w:rsidRDefault="00384A60">
      <w:r>
        <w:separator/>
      </w:r>
    </w:p>
  </w:footnote>
  <w:footnote w:type="continuationSeparator" w:id="0">
    <w:p w:rsidR="00384A60" w:rsidRDefault="0038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3969"/>
      <w:docPartObj>
        <w:docPartGallery w:val="Watermarks"/>
        <w:docPartUnique/>
      </w:docPartObj>
    </w:sdtPr>
    <w:sdtEndPr/>
    <w:sdtContent>
      <w:p w:rsidR="00384A60" w:rsidRDefault="00EE141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C88"/>
    <w:multiLevelType w:val="hybridMultilevel"/>
    <w:tmpl w:val="66C8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9EC"/>
    <w:multiLevelType w:val="hybridMultilevel"/>
    <w:tmpl w:val="AE6AA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01D4"/>
    <w:multiLevelType w:val="hybridMultilevel"/>
    <w:tmpl w:val="7F2A0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137B2"/>
    <w:rsid w:val="00022AB9"/>
    <w:rsid w:val="00064A9D"/>
    <w:rsid w:val="0009285F"/>
    <w:rsid w:val="000A2152"/>
    <w:rsid w:val="000C33D6"/>
    <w:rsid w:val="00141556"/>
    <w:rsid w:val="0015348F"/>
    <w:rsid w:val="001B3F9C"/>
    <w:rsid w:val="001D36DF"/>
    <w:rsid w:val="001D5EE9"/>
    <w:rsid w:val="001E0F34"/>
    <w:rsid w:val="001F1A92"/>
    <w:rsid w:val="00265B23"/>
    <w:rsid w:val="00295675"/>
    <w:rsid w:val="002F5FEC"/>
    <w:rsid w:val="00310F85"/>
    <w:rsid w:val="00337F60"/>
    <w:rsid w:val="00362089"/>
    <w:rsid w:val="00384A60"/>
    <w:rsid w:val="00387E0A"/>
    <w:rsid w:val="00397ECC"/>
    <w:rsid w:val="003E06E3"/>
    <w:rsid w:val="00417391"/>
    <w:rsid w:val="00443B31"/>
    <w:rsid w:val="004451B7"/>
    <w:rsid w:val="004E0E42"/>
    <w:rsid w:val="0054256B"/>
    <w:rsid w:val="005E4B2A"/>
    <w:rsid w:val="0061440A"/>
    <w:rsid w:val="006431B8"/>
    <w:rsid w:val="007078D3"/>
    <w:rsid w:val="007711DB"/>
    <w:rsid w:val="007F7EDB"/>
    <w:rsid w:val="0084047F"/>
    <w:rsid w:val="00856014"/>
    <w:rsid w:val="008E657A"/>
    <w:rsid w:val="008F0D14"/>
    <w:rsid w:val="00931865"/>
    <w:rsid w:val="009A6CD7"/>
    <w:rsid w:val="009D17E8"/>
    <w:rsid w:val="009F386C"/>
    <w:rsid w:val="00A260D4"/>
    <w:rsid w:val="00A6398F"/>
    <w:rsid w:val="00A81B03"/>
    <w:rsid w:val="00A86B4B"/>
    <w:rsid w:val="00AD6048"/>
    <w:rsid w:val="00AE256E"/>
    <w:rsid w:val="00B13084"/>
    <w:rsid w:val="00C22B32"/>
    <w:rsid w:val="00C4211C"/>
    <w:rsid w:val="00C50497"/>
    <w:rsid w:val="00C672AD"/>
    <w:rsid w:val="00C71525"/>
    <w:rsid w:val="00C74E34"/>
    <w:rsid w:val="00C90A4F"/>
    <w:rsid w:val="00CB7C2B"/>
    <w:rsid w:val="00CD7F4F"/>
    <w:rsid w:val="00D3000B"/>
    <w:rsid w:val="00D33A63"/>
    <w:rsid w:val="00D33B48"/>
    <w:rsid w:val="00D42E33"/>
    <w:rsid w:val="00D51710"/>
    <w:rsid w:val="00D54AF4"/>
    <w:rsid w:val="00DD0DDF"/>
    <w:rsid w:val="00DD390F"/>
    <w:rsid w:val="00DF4D08"/>
    <w:rsid w:val="00E342AE"/>
    <w:rsid w:val="00EB086E"/>
    <w:rsid w:val="00EB5BCA"/>
    <w:rsid w:val="00EC0638"/>
    <w:rsid w:val="00EC3810"/>
    <w:rsid w:val="00EC5841"/>
    <w:rsid w:val="00EE141F"/>
    <w:rsid w:val="00F13D46"/>
    <w:rsid w:val="00F31AAB"/>
    <w:rsid w:val="00F47CA0"/>
    <w:rsid w:val="00F838CA"/>
    <w:rsid w:val="00FC1E35"/>
    <w:rsid w:val="00FE1EFE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3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3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Pegasus Health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deborahc</dc:creator>
  <cp:lastModifiedBy>Deborah Callahan</cp:lastModifiedBy>
  <cp:revision>3</cp:revision>
  <cp:lastPrinted>2012-10-22T23:23:00Z</cp:lastPrinted>
  <dcterms:created xsi:type="dcterms:W3CDTF">2017-11-09T21:53:00Z</dcterms:created>
  <dcterms:modified xsi:type="dcterms:W3CDTF">2017-11-09T21:55:00Z</dcterms:modified>
</cp:coreProperties>
</file>