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9D" w:rsidRPr="00064A9D" w:rsidRDefault="00384A60" w:rsidP="00064A9D">
      <w:pPr>
        <w:pBdr>
          <w:bottom w:val="single" w:sz="18" w:space="1" w:color="FF0000"/>
        </w:pBdr>
        <w:rPr>
          <w:b/>
          <w:i/>
          <w:sz w:val="36"/>
          <w:lang w:val="en-NZ"/>
        </w:rPr>
      </w:pPr>
      <w:r>
        <w:rPr>
          <w:b/>
          <w:sz w:val="36"/>
          <w:lang w:val="en-NZ"/>
        </w:rPr>
        <w:t>Recovery Manager</w:t>
      </w:r>
      <w:r w:rsidR="00064A9D">
        <w:rPr>
          <w:b/>
          <w:sz w:val="36"/>
          <w:lang w:val="en-NZ"/>
        </w:rPr>
        <w:t xml:space="preserve"> </w:t>
      </w:r>
      <w:r w:rsidR="00064A9D" w:rsidRPr="00064A9D">
        <w:rPr>
          <w:b/>
          <w:i/>
          <w:noProof/>
          <w:sz w:val="36"/>
          <w:lang w:val="en-NZ" w:eastAsia="en-NZ"/>
        </w:rPr>
        <w:drawing>
          <wp:anchor distT="0" distB="0" distL="114300" distR="114300" simplePos="0" relativeHeight="251659264" behindDoc="0" locked="0" layoutInCell="1" allowOverlap="1">
            <wp:simplePos x="0" y="0"/>
            <wp:positionH relativeFrom="column">
              <wp:posOffset>5376545</wp:posOffset>
            </wp:positionH>
            <wp:positionV relativeFrom="paragraph">
              <wp:posOffset>-548005</wp:posOffset>
            </wp:positionV>
            <wp:extent cx="828675" cy="990600"/>
            <wp:effectExtent l="19050" t="0" r="9525" b="0"/>
            <wp:wrapNone/>
            <wp:docPr id="1" name="Picture 0" descr="cp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rg.JPG"/>
                    <pic:cNvPicPr/>
                  </pic:nvPicPr>
                  <pic:blipFill>
                    <a:blip r:embed="rId8" cstate="print"/>
                    <a:stretch>
                      <a:fillRect/>
                    </a:stretch>
                  </pic:blipFill>
                  <pic:spPr>
                    <a:xfrm>
                      <a:off x="0" y="0"/>
                      <a:ext cx="828675" cy="990600"/>
                    </a:xfrm>
                    <a:prstGeom prst="rect">
                      <a:avLst/>
                    </a:prstGeom>
                  </pic:spPr>
                </pic:pic>
              </a:graphicData>
            </a:graphic>
          </wp:anchor>
        </w:drawing>
      </w:r>
    </w:p>
    <w:p w:rsidR="00064A9D" w:rsidRPr="00064A9D" w:rsidRDefault="000C33D6" w:rsidP="00064A9D">
      <w:pPr>
        <w:rPr>
          <w:b/>
          <w:sz w:val="36"/>
          <w:lang w:val="en-NZ"/>
        </w:rPr>
      </w:pPr>
      <w:r>
        <w:rPr>
          <w:b/>
          <w:sz w:val="28"/>
          <w:lang w:val="en-NZ"/>
        </w:rPr>
        <w:t>Role</w:t>
      </w:r>
      <w:r w:rsidR="00064A9D" w:rsidRPr="00064A9D">
        <w:rPr>
          <w:b/>
          <w:sz w:val="28"/>
          <w:lang w:val="en-NZ"/>
        </w:rPr>
        <w:t xml:space="preserve"> Description</w:t>
      </w:r>
      <w:r w:rsidR="00064A9D" w:rsidRPr="00064A9D">
        <w:rPr>
          <w:b/>
          <w:sz w:val="36"/>
          <w:lang w:val="en-NZ"/>
        </w:rPr>
        <w:tab/>
      </w:r>
    </w:p>
    <w:p w:rsidR="007F7EDB" w:rsidRDefault="007F7EDB" w:rsidP="00AE256E">
      <w:pPr>
        <w:rPr>
          <w:b/>
          <w:caps/>
          <w:color w:val="FF0000"/>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35"/>
      </w:tblGrid>
      <w:tr w:rsidR="00D33A63" w:rsidRPr="00D33A63" w:rsidTr="000A2152">
        <w:tc>
          <w:tcPr>
            <w:tcW w:w="1951" w:type="dxa"/>
          </w:tcPr>
          <w:p w:rsidR="00D33A63" w:rsidRPr="00D33A63" w:rsidRDefault="00F6564B" w:rsidP="00D33A63">
            <w:pPr>
              <w:rPr>
                <w:b/>
                <w:color w:val="FF0000"/>
                <w:lang w:val="en-NZ"/>
              </w:rPr>
            </w:pPr>
            <w:r>
              <w:rPr>
                <w:b/>
                <w:color w:val="FF0000"/>
                <w:lang w:val="en-NZ"/>
              </w:rPr>
              <w:t>PRIMARY OBJECTIVE</w:t>
            </w:r>
          </w:p>
          <w:p w:rsidR="00D33A63" w:rsidRPr="00D33A63" w:rsidRDefault="00D33A63" w:rsidP="00D33A63">
            <w:pPr>
              <w:rPr>
                <w:b/>
                <w:color w:val="FF0000"/>
                <w:lang w:val="en-NZ"/>
              </w:rPr>
            </w:pPr>
          </w:p>
        </w:tc>
        <w:tc>
          <w:tcPr>
            <w:tcW w:w="7335" w:type="dxa"/>
          </w:tcPr>
          <w:p w:rsidR="00D33A63" w:rsidRDefault="00D33A63" w:rsidP="00D33A63">
            <w:pPr>
              <w:rPr>
                <w:lang w:val="en-NZ"/>
              </w:rPr>
            </w:pPr>
            <w:r>
              <w:rPr>
                <w:lang w:val="en-NZ"/>
              </w:rPr>
              <w:t xml:space="preserve">The </w:t>
            </w:r>
            <w:r w:rsidR="00384A60">
              <w:rPr>
                <w:lang w:val="en-NZ"/>
              </w:rPr>
              <w:t>Recovery Manager is responsible for overseeing the activities that stabilise the affected community and assure support systems are operational. Longer term activity includes coordinating or linking in with community rehabilitation and restoration.</w:t>
            </w:r>
          </w:p>
          <w:p w:rsidR="00D33A63" w:rsidRPr="00D33A63" w:rsidRDefault="00D33A63" w:rsidP="00D33A63"/>
        </w:tc>
      </w:tr>
      <w:tr w:rsidR="00D33A63" w:rsidRPr="00D33A63" w:rsidTr="000A2152">
        <w:tc>
          <w:tcPr>
            <w:tcW w:w="1951" w:type="dxa"/>
          </w:tcPr>
          <w:p w:rsidR="00D33A63" w:rsidRPr="00E342AE" w:rsidRDefault="00D33A63" w:rsidP="00D33A63">
            <w:pPr>
              <w:rPr>
                <w:b/>
                <w:caps/>
                <w:color w:val="FF0000"/>
                <w:lang w:val="en-NZ"/>
              </w:rPr>
            </w:pPr>
            <w:r w:rsidRPr="00E342AE">
              <w:rPr>
                <w:b/>
                <w:caps/>
                <w:color w:val="FF0000"/>
                <w:lang w:val="en-NZ"/>
              </w:rPr>
              <w:t>Reports to</w:t>
            </w:r>
          </w:p>
          <w:p w:rsidR="00D33A63" w:rsidRPr="00D33A63" w:rsidRDefault="00D33A63" w:rsidP="00D33A63">
            <w:pPr>
              <w:rPr>
                <w:b/>
                <w:color w:val="FF0000"/>
                <w:lang w:val="en-NZ"/>
              </w:rPr>
            </w:pPr>
          </w:p>
        </w:tc>
        <w:tc>
          <w:tcPr>
            <w:tcW w:w="7335" w:type="dxa"/>
          </w:tcPr>
          <w:p w:rsidR="00D33A63" w:rsidRPr="00D33A63" w:rsidRDefault="00D33A63" w:rsidP="00D33A63">
            <w:r>
              <w:t>Primary Care Controller</w:t>
            </w:r>
          </w:p>
        </w:tc>
      </w:tr>
      <w:tr w:rsidR="00D33A63" w:rsidRPr="00D33A63" w:rsidTr="000A2152">
        <w:tc>
          <w:tcPr>
            <w:tcW w:w="1951" w:type="dxa"/>
          </w:tcPr>
          <w:p w:rsidR="00D33A63" w:rsidRPr="00D33A63" w:rsidRDefault="00D33A63" w:rsidP="00D33A63">
            <w:pPr>
              <w:rPr>
                <w:b/>
                <w:color w:val="FF0000"/>
                <w:lang w:val="en-NZ"/>
              </w:rPr>
            </w:pPr>
            <w:r w:rsidRPr="00D33A63">
              <w:rPr>
                <w:b/>
                <w:color w:val="FF0000"/>
                <w:lang w:val="en-NZ"/>
              </w:rPr>
              <w:t>RELATIONSHIPS</w:t>
            </w:r>
          </w:p>
        </w:tc>
        <w:tc>
          <w:tcPr>
            <w:tcW w:w="7335" w:type="dxa"/>
          </w:tcPr>
          <w:p w:rsidR="00D33A63" w:rsidRPr="00D33A63" w:rsidRDefault="00D33A63" w:rsidP="00D33A63">
            <w:pPr>
              <w:rPr>
                <w:b/>
              </w:rPr>
            </w:pPr>
            <w:r w:rsidRPr="00D33A63">
              <w:rPr>
                <w:b/>
              </w:rPr>
              <w:t>Internal</w:t>
            </w:r>
          </w:p>
          <w:p w:rsidR="00D33A63" w:rsidRDefault="00D33A63" w:rsidP="00D33A63">
            <w:pPr>
              <w:pStyle w:val="Bullet1"/>
            </w:pPr>
            <w:r>
              <w:t>Primary Care Controller</w:t>
            </w:r>
          </w:p>
          <w:p w:rsidR="00D33A63" w:rsidRDefault="00D33A63" w:rsidP="00D33A63">
            <w:pPr>
              <w:pStyle w:val="Bullet1"/>
            </w:pPr>
            <w:r>
              <w:t>Comms</w:t>
            </w:r>
            <w:r w:rsidR="00F6564B">
              <w:t xml:space="preserve"> Manager</w:t>
            </w:r>
          </w:p>
          <w:p w:rsidR="00384A60" w:rsidRPr="00D33A63" w:rsidRDefault="00384A60" w:rsidP="00D33A63">
            <w:pPr>
              <w:pStyle w:val="Bullet1"/>
            </w:pPr>
            <w:r>
              <w:t>EOC Coordinator</w:t>
            </w:r>
          </w:p>
          <w:p w:rsidR="00D33A63" w:rsidRDefault="00D33A63" w:rsidP="00D33A63">
            <w:pPr>
              <w:pStyle w:val="Bullet1"/>
            </w:pPr>
            <w:r>
              <w:t>Clinical and non-clinical advisors</w:t>
            </w:r>
          </w:p>
          <w:p w:rsidR="00D33A63" w:rsidRPr="00D33A63" w:rsidRDefault="00D33A63" w:rsidP="00D33A63">
            <w:pPr>
              <w:pStyle w:val="Bullet1"/>
            </w:pPr>
            <w:r>
              <w:t>EOC Site Manager</w:t>
            </w:r>
          </w:p>
          <w:p w:rsidR="00D33A63" w:rsidRPr="00D33A63" w:rsidRDefault="00D33A63" w:rsidP="00D33A63"/>
          <w:p w:rsidR="00D33A63" w:rsidRPr="00D33A63" w:rsidRDefault="00D33A63" w:rsidP="00D33A63">
            <w:pPr>
              <w:rPr>
                <w:b/>
              </w:rPr>
            </w:pPr>
            <w:r w:rsidRPr="00D33A63">
              <w:rPr>
                <w:b/>
              </w:rPr>
              <w:t>External</w:t>
            </w:r>
          </w:p>
          <w:p w:rsidR="00D33A63" w:rsidRDefault="000A2152" w:rsidP="00D33A63">
            <w:pPr>
              <w:pStyle w:val="Bullet1"/>
            </w:pPr>
            <w:r>
              <w:t>CDEM</w:t>
            </w:r>
          </w:p>
          <w:p w:rsidR="00D33A63" w:rsidRDefault="00D33A63" w:rsidP="00D33A63">
            <w:pPr>
              <w:pStyle w:val="Bullet1"/>
            </w:pPr>
            <w:r>
              <w:t>CDHB EOC</w:t>
            </w:r>
          </w:p>
          <w:p w:rsidR="00D33A63" w:rsidRDefault="00D33A63" w:rsidP="00D33A63">
            <w:pPr>
              <w:pStyle w:val="Bullet1"/>
            </w:pPr>
            <w:r>
              <w:t>City Council EOC</w:t>
            </w:r>
          </w:p>
          <w:p w:rsidR="00D33A63" w:rsidRDefault="00D33A63" w:rsidP="00D33A63">
            <w:pPr>
              <w:pStyle w:val="Bullet1"/>
            </w:pPr>
            <w:r>
              <w:t>PHO, IPA, NGO CEOs</w:t>
            </w:r>
          </w:p>
          <w:p w:rsidR="00D33A63" w:rsidRPr="00D33A63" w:rsidRDefault="00D33A63" w:rsidP="00D33A63"/>
        </w:tc>
      </w:tr>
      <w:tr w:rsidR="00D33A63" w:rsidRPr="00D33A63" w:rsidTr="000A2152">
        <w:tc>
          <w:tcPr>
            <w:tcW w:w="1951" w:type="dxa"/>
          </w:tcPr>
          <w:p w:rsidR="00D33A63" w:rsidRPr="00D33A63" w:rsidRDefault="00D33A63" w:rsidP="00D33A63">
            <w:pPr>
              <w:rPr>
                <w:b/>
                <w:color w:val="FF0000"/>
                <w:lang w:val="en-NZ"/>
              </w:rPr>
            </w:pPr>
            <w:r w:rsidRPr="00D33A63">
              <w:rPr>
                <w:b/>
                <w:color w:val="FF0000"/>
                <w:lang w:val="en-NZ"/>
              </w:rPr>
              <w:t>KEY TASKS</w:t>
            </w:r>
          </w:p>
          <w:p w:rsidR="00D33A63" w:rsidRPr="00D33A63" w:rsidRDefault="00D33A63" w:rsidP="00D33A63">
            <w:pPr>
              <w:rPr>
                <w:b/>
                <w:color w:val="FF0000"/>
                <w:lang w:val="en-NZ"/>
              </w:rPr>
            </w:pPr>
          </w:p>
        </w:tc>
        <w:tc>
          <w:tcPr>
            <w:tcW w:w="7335" w:type="dxa"/>
          </w:tcPr>
          <w:p w:rsidR="00D33A63" w:rsidRDefault="00384A60" w:rsidP="00D33A63">
            <w:pPr>
              <w:pStyle w:val="Bullet1"/>
            </w:pPr>
            <w:r>
              <w:t>Identify issues that impact on the transition from the active response to the recovery phase of the event.</w:t>
            </w:r>
          </w:p>
          <w:p w:rsidR="00384A60" w:rsidRDefault="00384A60" w:rsidP="00D33A63">
            <w:pPr>
              <w:pStyle w:val="Bullet1"/>
            </w:pPr>
            <w:proofErr w:type="gramStart"/>
            <w:r>
              <w:t>Work</w:t>
            </w:r>
            <w:proofErr w:type="gramEnd"/>
            <w:r>
              <w:t xml:space="preserve"> alongside the response coordinator to ensure response decisions are made in the response phase are consistent with the need to transition smoothly to recovery as soon as is practicable.</w:t>
            </w:r>
          </w:p>
          <w:p w:rsidR="00384A60" w:rsidRDefault="00384A60" w:rsidP="00D33A63">
            <w:pPr>
              <w:pStyle w:val="Bullet1"/>
            </w:pPr>
            <w:r>
              <w:t>Maintain liaison with recovery managers within other parts of the health system and the appropriate local authorities and CDEM.</w:t>
            </w:r>
          </w:p>
          <w:p w:rsidR="00384A60" w:rsidRDefault="00384A60" w:rsidP="00D33A63">
            <w:pPr>
              <w:pStyle w:val="Bullet1"/>
            </w:pPr>
            <w:r>
              <w:t>Develop strategies for the restoration of normal services with primary care.</w:t>
            </w:r>
          </w:p>
          <w:p w:rsidR="00384A60" w:rsidRDefault="00384A60" w:rsidP="00D33A63">
            <w:pPr>
              <w:pStyle w:val="Bullet1"/>
            </w:pPr>
            <w:r>
              <w:t>Identify relevant stakeholders and coordinate recovery planning.</w:t>
            </w:r>
          </w:p>
          <w:p w:rsidR="00384A60" w:rsidRDefault="00384A60" w:rsidP="00D33A63">
            <w:pPr>
              <w:pStyle w:val="Bullet1"/>
            </w:pPr>
            <w:r>
              <w:t>Oversee the transition from response to recovery.</w:t>
            </w:r>
          </w:p>
          <w:p w:rsidR="00384A60" w:rsidRPr="00DD0DDF" w:rsidRDefault="00384A60" w:rsidP="00D33A63">
            <w:pPr>
              <w:pStyle w:val="Bullet1"/>
            </w:pPr>
            <w:r>
              <w:t>Assume responsibility for coordination of the recovery effort once the response phase finishes.</w:t>
            </w:r>
          </w:p>
          <w:p w:rsidR="00D33A63" w:rsidRPr="00D33A63" w:rsidRDefault="00D33A63" w:rsidP="00D33A63"/>
        </w:tc>
      </w:tr>
      <w:tr w:rsidR="00D33A63" w:rsidRPr="00D33A63" w:rsidTr="000A2152">
        <w:tc>
          <w:tcPr>
            <w:tcW w:w="1951" w:type="dxa"/>
          </w:tcPr>
          <w:p w:rsidR="00D33A63" w:rsidRPr="00D33A63" w:rsidRDefault="00D33A63" w:rsidP="00D33A63">
            <w:pPr>
              <w:rPr>
                <w:b/>
                <w:color w:val="FF0000"/>
                <w:lang w:val="en-NZ"/>
              </w:rPr>
            </w:pPr>
            <w:r w:rsidRPr="00D33A63">
              <w:rPr>
                <w:b/>
                <w:color w:val="FF0000"/>
                <w:lang w:val="en-NZ"/>
              </w:rPr>
              <w:t>PERSON SPECIFICATION</w:t>
            </w:r>
          </w:p>
          <w:p w:rsidR="00D33A63" w:rsidRPr="00D33A63" w:rsidRDefault="00D33A63" w:rsidP="00D33A63">
            <w:pPr>
              <w:rPr>
                <w:b/>
                <w:color w:val="FF0000"/>
                <w:lang w:val="en-NZ"/>
              </w:rPr>
            </w:pPr>
          </w:p>
        </w:tc>
        <w:tc>
          <w:tcPr>
            <w:tcW w:w="7335" w:type="dxa"/>
          </w:tcPr>
          <w:p w:rsidR="00D33A63" w:rsidRPr="00DD0DDF" w:rsidRDefault="00D33A63" w:rsidP="00D33A63">
            <w:pPr>
              <w:pStyle w:val="Bullet1"/>
            </w:pPr>
            <w:r>
              <w:t>High level of i</w:t>
            </w:r>
            <w:r w:rsidRPr="00DD0DDF">
              <w:t>nter-personal communications</w:t>
            </w:r>
          </w:p>
          <w:p w:rsidR="00D33A63" w:rsidRPr="00DD0DDF" w:rsidRDefault="00D33A63" w:rsidP="00D33A63">
            <w:pPr>
              <w:pStyle w:val="Bullet1"/>
            </w:pPr>
            <w:r>
              <w:t>High level of accuracy and time management</w:t>
            </w:r>
          </w:p>
          <w:p w:rsidR="00D33A63" w:rsidRPr="00DD0DDF" w:rsidRDefault="00D33A63" w:rsidP="00D33A63">
            <w:pPr>
              <w:pStyle w:val="Bullet1"/>
            </w:pPr>
            <w:r w:rsidRPr="00DD0DDF">
              <w:t>Analytical skills</w:t>
            </w:r>
          </w:p>
          <w:p w:rsidR="00D33A63" w:rsidRPr="00D33A63" w:rsidRDefault="00D33A63" w:rsidP="00D33A63">
            <w:pPr>
              <w:pStyle w:val="Bullet1"/>
            </w:pPr>
            <w:r w:rsidRPr="00D33A63">
              <w:t>Networking, relationship-building skills</w:t>
            </w:r>
          </w:p>
          <w:p w:rsidR="00D33A63" w:rsidRPr="00D33A63" w:rsidRDefault="00D33A63" w:rsidP="00D33A63"/>
        </w:tc>
      </w:tr>
      <w:tr w:rsidR="00F6564B" w:rsidRPr="00D33A63" w:rsidTr="000A2152">
        <w:tc>
          <w:tcPr>
            <w:tcW w:w="1951" w:type="dxa"/>
          </w:tcPr>
          <w:p w:rsidR="00F6564B" w:rsidRPr="00D33A63" w:rsidRDefault="00F6564B" w:rsidP="00D33A63">
            <w:pPr>
              <w:rPr>
                <w:b/>
                <w:color w:val="FF0000"/>
                <w:lang w:val="en-NZ"/>
              </w:rPr>
            </w:pPr>
            <w:r>
              <w:rPr>
                <w:b/>
                <w:color w:val="FF0000"/>
                <w:lang w:val="en-NZ"/>
              </w:rPr>
              <w:t>DESIRED EXPERIENCE</w:t>
            </w:r>
          </w:p>
        </w:tc>
        <w:tc>
          <w:tcPr>
            <w:tcW w:w="7335" w:type="dxa"/>
          </w:tcPr>
          <w:p w:rsidR="00F6564B" w:rsidRPr="00D33A63" w:rsidRDefault="00F6564B" w:rsidP="00F6564B">
            <w:pPr>
              <w:pStyle w:val="Bullet1"/>
            </w:pPr>
            <w:r w:rsidRPr="00D33A63">
              <w:t>Understanding of health sector</w:t>
            </w:r>
            <w:r>
              <w:t xml:space="preserve"> a bonus</w:t>
            </w:r>
          </w:p>
          <w:p w:rsidR="00F6564B" w:rsidRPr="00DD0DDF" w:rsidRDefault="00F6564B" w:rsidP="00F6564B">
            <w:pPr>
              <w:pStyle w:val="Bullet1"/>
            </w:pPr>
            <w:r>
              <w:t>Experience in</w:t>
            </w:r>
            <w:r>
              <w:t xml:space="preserve"> l</w:t>
            </w:r>
            <w:r w:rsidRPr="00DD0DDF">
              <w:t>eadership and team building</w:t>
            </w:r>
          </w:p>
          <w:p w:rsidR="00F6564B" w:rsidRDefault="00F6564B" w:rsidP="00F6564B">
            <w:pPr>
              <w:pStyle w:val="Bullet1"/>
              <w:numPr>
                <w:ilvl w:val="0"/>
                <w:numId w:val="0"/>
              </w:numPr>
              <w:ind w:left="425"/>
            </w:pPr>
          </w:p>
        </w:tc>
      </w:tr>
    </w:tbl>
    <w:p w:rsidR="00EB5BCA" w:rsidRPr="00DD390F" w:rsidRDefault="00EB5BCA" w:rsidP="00D33A63">
      <w:pPr>
        <w:rPr>
          <w:lang w:val="en-NZ"/>
        </w:rPr>
      </w:pPr>
      <w:bookmarkStart w:id="0" w:name="_GoBack"/>
      <w:bookmarkEnd w:id="0"/>
    </w:p>
    <w:sectPr w:rsidR="00EB5BCA" w:rsidRPr="00DD390F" w:rsidSect="00DF4D08">
      <w:headerReference w:type="default" r:id="rId9"/>
      <w:footerReference w:type="default" r:id="rId10"/>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8D1" w:rsidRDefault="001D38D1">
      <w:r>
        <w:separator/>
      </w:r>
    </w:p>
  </w:endnote>
  <w:endnote w:type="continuationSeparator" w:id="0">
    <w:p w:rsidR="001D38D1" w:rsidRDefault="001D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60" w:rsidRPr="00397ECC" w:rsidRDefault="00216112" w:rsidP="00397ECC">
    <w:pPr>
      <w:pStyle w:val="Footer"/>
      <w:tabs>
        <w:tab w:val="clear" w:pos="4320"/>
        <w:tab w:val="clear" w:pos="8640"/>
        <w:tab w:val="right" w:pos="8931"/>
      </w:tabs>
    </w:pPr>
    <w:fldSimple w:instr=" FILENAME   \* MERGEFORMAT ">
      <w:r w:rsidR="00A65223">
        <w:rPr>
          <w:noProof/>
        </w:rPr>
        <w:t>Recovery Manager Description_2012 12</w:t>
      </w:r>
    </w:fldSimple>
    <w:r w:rsidR="00384A60" w:rsidRPr="00397ECC">
      <w:tab/>
      <w:t xml:space="preserve">Page </w:t>
    </w:r>
    <w:r w:rsidR="00384A60">
      <w:fldChar w:fldCharType="begin"/>
    </w:r>
    <w:r w:rsidR="00384A60">
      <w:instrText xml:space="preserve"> PAGE </w:instrText>
    </w:r>
    <w:r w:rsidR="00384A60">
      <w:fldChar w:fldCharType="separate"/>
    </w:r>
    <w:r w:rsidR="00A65223">
      <w:rPr>
        <w:noProof/>
      </w:rPr>
      <w:t>1</w:t>
    </w:r>
    <w:r w:rsidR="00384A60">
      <w:rPr>
        <w:noProof/>
      </w:rPr>
      <w:fldChar w:fldCharType="end"/>
    </w:r>
    <w:r w:rsidR="00384A60" w:rsidRPr="00397ECC">
      <w:t xml:space="preserve"> of </w:t>
    </w:r>
    <w:r w:rsidR="00384A60">
      <w:fldChar w:fldCharType="begin"/>
    </w:r>
    <w:r w:rsidR="00384A60">
      <w:instrText xml:space="preserve"> NUMPAGES </w:instrText>
    </w:r>
    <w:r w:rsidR="00384A60">
      <w:fldChar w:fldCharType="separate"/>
    </w:r>
    <w:r w:rsidR="00A65223">
      <w:rPr>
        <w:noProof/>
      </w:rPr>
      <w:t>1</w:t>
    </w:r>
    <w:r w:rsidR="00384A6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8D1" w:rsidRDefault="001D38D1">
      <w:r>
        <w:separator/>
      </w:r>
    </w:p>
  </w:footnote>
  <w:footnote w:type="continuationSeparator" w:id="0">
    <w:p w:rsidR="001D38D1" w:rsidRDefault="001D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93969"/>
      <w:docPartObj>
        <w:docPartGallery w:val="Watermarks"/>
        <w:docPartUnique/>
      </w:docPartObj>
    </w:sdtPr>
    <w:sdtEndPr/>
    <w:sdtContent>
      <w:p w:rsidR="00384A60" w:rsidRDefault="00A6522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1C88"/>
    <w:multiLevelType w:val="hybridMultilevel"/>
    <w:tmpl w:val="66C872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0FA69EC"/>
    <w:multiLevelType w:val="hybridMultilevel"/>
    <w:tmpl w:val="AE6AA1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6D401D4"/>
    <w:multiLevelType w:val="hybridMultilevel"/>
    <w:tmpl w:val="7F2A0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9865EEF"/>
    <w:multiLevelType w:val="hybridMultilevel"/>
    <w:tmpl w:val="5D10BEAE"/>
    <w:lvl w:ilvl="0" w:tplc="22382046">
      <w:start w:val="1"/>
      <w:numFmt w:val="bullet"/>
      <w:pStyle w:val="Bullet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AB57AEA"/>
    <w:multiLevelType w:val="hybridMultilevel"/>
    <w:tmpl w:val="6F0EF8D2"/>
    <w:lvl w:ilvl="0" w:tplc="5C84C416">
      <w:start w:val="1"/>
      <w:numFmt w:val="bullet"/>
      <w:pStyle w:val="Bullet1"/>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60"/>
    <w:rsid w:val="000137B2"/>
    <w:rsid w:val="00022AB9"/>
    <w:rsid w:val="00064A9D"/>
    <w:rsid w:val="0009285F"/>
    <w:rsid w:val="000A2152"/>
    <w:rsid w:val="000C33D6"/>
    <w:rsid w:val="00141556"/>
    <w:rsid w:val="0015348F"/>
    <w:rsid w:val="001B3F9C"/>
    <w:rsid w:val="001D36DF"/>
    <w:rsid w:val="001D38D1"/>
    <w:rsid w:val="001D5EE9"/>
    <w:rsid w:val="001E0F34"/>
    <w:rsid w:val="001F1A92"/>
    <w:rsid w:val="00216112"/>
    <w:rsid w:val="00265B23"/>
    <w:rsid w:val="00295675"/>
    <w:rsid w:val="002F5FEC"/>
    <w:rsid w:val="00310F85"/>
    <w:rsid w:val="00337F60"/>
    <w:rsid w:val="00362089"/>
    <w:rsid w:val="00384A60"/>
    <w:rsid w:val="00387E0A"/>
    <w:rsid w:val="00397ECC"/>
    <w:rsid w:val="003E06E3"/>
    <w:rsid w:val="00417391"/>
    <w:rsid w:val="00443B31"/>
    <w:rsid w:val="004451B7"/>
    <w:rsid w:val="004E0E42"/>
    <w:rsid w:val="0054256B"/>
    <w:rsid w:val="005E4B2A"/>
    <w:rsid w:val="0061440A"/>
    <w:rsid w:val="006431B8"/>
    <w:rsid w:val="007078D3"/>
    <w:rsid w:val="007711DB"/>
    <w:rsid w:val="007F7EDB"/>
    <w:rsid w:val="0084047F"/>
    <w:rsid w:val="00856014"/>
    <w:rsid w:val="008E657A"/>
    <w:rsid w:val="008F0D14"/>
    <w:rsid w:val="009A6CD7"/>
    <w:rsid w:val="009D17E8"/>
    <w:rsid w:val="009F386C"/>
    <w:rsid w:val="00A260D4"/>
    <w:rsid w:val="00A6398F"/>
    <w:rsid w:val="00A65223"/>
    <w:rsid w:val="00A81B03"/>
    <w:rsid w:val="00A86B4B"/>
    <w:rsid w:val="00AE256E"/>
    <w:rsid w:val="00C22B32"/>
    <w:rsid w:val="00C4211C"/>
    <w:rsid w:val="00C50497"/>
    <w:rsid w:val="00C71525"/>
    <w:rsid w:val="00C74E34"/>
    <w:rsid w:val="00C90A4F"/>
    <w:rsid w:val="00CB7C2B"/>
    <w:rsid w:val="00CD7F4F"/>
    <w:rsid w:val="00D3000B"/>
    <w:rsid w:val="00D33A63"/>
    <w:rsid w:val="00D33B48"/>
    <w:rsid w:val="00D42E33"/>
    <w:rsid w:val="00D51710"/>
    <w:rsid w:val="00D54AF4"/>
    <w:rsid w:val="00DD0DDF"/>
    <w:rsid w:val="00DD390F"/>
    <w:rsid w:val="00DF4D08"/>
    <w:rsid w:val="00E342AE"/>
    <w:rsid w:val="00EB086E"/>
    <w:rsid w:val="00EB5BCA"/>
    <w:rsid w:val="00EC0638"/>
    <w:rsid w:val="00EC3810"/>
    <w:rsid w:val="00EC5841"/>
    <w:rsid w:val="00F13D46"/>
    <w:rsid w:val="00F31AAB"/>
    <w:rsid w:val="00F47CA0"/>
    <w:rsid w:val="00F6564B"/>
    <w:rsid w:val="00F838CA"/>
    <w:rsid w:val="00FC1E35"/>
    <w:rsid w:val="00FE1EFE"/>
    <w:rsid w:val="00FF14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5675"/>
    <w:pPr>
      <w:jc w:val="both"/>
    </w:pPr>
    <w:rPr>
      <w:rFonts w:ascii="Calibri" w:hAnsi="Calibri"/>
      <w:lang w:val="en-GB" w:eastAsia="en-US"/>
    </w:rPr>
  </w:style>
  <w:style w:type="paragraph" w:styleId="Heading1">
    <w:name w:val="heading 1"/>
    <w:basedOn w:val="Normal"/>
    <w:next w:val="Normal"/>
    <w:qFormat/>
    <w:rsid w:val="00295675"/>
    <w:pPr>
      <w:keepNext/>
      <w:spacing w:before="360" w:after="60"/>
      <w:outlineLvl w:val="0"/>
    </w:pPr>
    <w:rPr>
      <w:rFonts w:cs="Arial"/>
      <w:b/>
      <w:bCs/>
      <w:caps/>
      <w:kern w:val="32"/>
      <w:sz w:val="22"/>
    </w:rPr>
  </w:style>
  <w:style w:type="paragraph" w:styleId="Heading2">
    <w:name w:val="heading 2"/>
    <w:basedOn w:val="Normal"/>
    <w:next w:val="Normal"/>
    <w:qFormat/>
    <w:rsid w:val="00295675"/>
    <w:pPr>
      <w:keepNext/>
      <w:spacing w:before="240" w:after="60"/>
      <w:outlineLvl w:val="1"/>
    </w:pPr>
    <w:rPr>
      <w:rFonts w:cs="Arial"/>
      <w:b/>
      <w:bCs/>
      <w:iCs/>
      <w:sz w:val="22"/>
    </w:rPr>
  </w:style>
  <w:style w:type="paragraph" w:styleId="Heading3">
    <w:name w:val="heading 3"/>
    <w:basedOn w:val="Normal"/>
    <w:next w:val="Normal"/>
    <w:qFormat/>
    <w:rsid w:val="00295675"/>
    <w:pPr>
      <w:keepNext/>
      <w:spacing w:before="240" w:after="60"/>
      <w:outlineLvl w:val="2"/>
    </w:pPr>
    <w:rPr>
      <w:rFonts w:cs="Arial"/>
      <w:bCs/>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7ECC"/>
    <w:pPr>
      <w:tabs>
        <w:tab w:val="center" w:pos="4320"/>
        <w:tab w:val="right" w:pos="8640"/>
      </w:tabs>
    </w:pPr>
    <w:rPr>
      <w:rFonts w:ascii="Arial" w:hAnsi="Arial"/>
      <w:sz w:val="16"/>
    </w:rPr>
  </w:style>
  <w:style w:type="paragraph" w:styleId="Footer">
    <w:name w:val="footer"/>
    <w:basedOn w:val="Normal"/>
    <w:rsid w:val="00EC0638"/>
    <w:pPr>
      <w:tabs>
        <w:tab w:val="center" w:pos="4320"/>
        <w:tab w:val="right" w:pos="8640"/>
      </w:tabs>
    </w:pPr>
    <w:rPr>
      <w:rFonts w:ascii="Arial" w:hAnsi="Arial"/>
      <w:sz w:val="16"/>
    </w:rPr>
  </w:style>
  <w:style w:type="paragraph" w:customStyle="1" w:styleId="Bullet1">
    <w:name w:val="Bullet1"/>
    <w:qFormat/>
    <w:rsid w:val="00AE256E"/>
    <w:pPr>
      <w:numPr>
        <w:numId w:val="1"/>
      </w:numPr>
      <w:spacing w:before="60" w:after="60"/>
      <w:ind w:left="425" w:hanging="425"/>
    </w:pPr>
    <w:rPr>
      <w:rFonts w:ascii="Calibri" w:hAnsi="Calibri"/>
      <w:lang w:eastAsia="en-US"/>
    </w:rPr>
  </w:style>
  <w:style w:type="paragraph" w:customStyle="1" w:styleId="Bullet2">
    <w:name w:val="Bullet2"/>
    <w:qFormat/>
    <w:rsid w:val="00AE256E"/>
    <w:pPr>
      <w:numPr>
        <w:numId w:val="2"/>
      </w:numPr>
      <w:ind w:left="709" w:hanging="284"/>
    </w:pPr>
    <w:rPr>
      <w:rFonts w:ascii="Calibri" w:hAnsi="Calibri"/>
      <w:lang w:eastAsia="en-US"/>
    </w:rPr>
  </w:style>
  <w:style w:type="paragraph" w:styleId="ListParagraph">
    <w:name w:val="List Paragraph"/>
    <w:basedOn w:val="Normal"/>
    <w:uiPriority w:val="34"/>
    <w:rsid w:val="00DD390F"/>
    <w:pPr>
      <w:ind w:left="720"/>
      <w:contextualSpacing/>
    </w:pPr>
  </w:style>
  <w:style w:type="paragraph" w:styleId="BalloonText">
    <w:name w:val="Balloon Text"/>
    <w:basedOn w:val="Normal"/>
    <w:link w:val="BalloonTextChar"/>
    <w:rsid w:val="009A6CD7"/>
    <w:rPr>
      <w:rFonts w:ascii="Tahoma" w:hAnsi="Tahoma" w:cs="Tahoma"/>
      <w:sz w:val="16"/>
      <w:szCs w:val="16"/>
    </w:rPr>
  </w:style>
  <w:style w:type="character" w:customStyle="1" w:styleId="BalloonTextChar">
    <w:name w:val="Balloon Text Char"/>
    <w:basedOn w:val="DefaultParagraphFont"/>
    <w:link w:val="BalloonText"/>
    <w:rsid w:val="009A6CD7"/>
    <w:rPr>
      <w:rFonts w:ascii="Tahoma" w:hAnsi="Tahoma" w:cs="Tahoma"/>
      <w:sz w:val="16"/>
      <w:szCs w:val="16"/>
      <w:lang w:val="en-GB" w:eastAsia="en-US"/>
    </w:rPr>
  </w:style>
  <w:style w:type="table" w:styleId="TableGrid">
    <w:name w:val="Table Grid"/>
    <w:basedOn w:val="TableNormal"/>
    <w:rsid w:val="00D33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5675"/>
    <w:pPr>
      <w:jc w:val="both"/>
    </w:pPr>
    <w:rPr>
      <w:rFonts w:ascii="Calibri" w:hAnsi="Calibri"/>
      <w:lang w:val="en-GB" w:eastAsia="en-US"/>
    </w:rPr>
  </w:style>
  <w:style w:type="paragraph" w:styleId="Heading1">
    <w:name w:val="heading 1"/>
    <w:basedOn w:val="Normal"/>
    <w:next w:val="Normal"/>
    <w:qFormat/>
    <w:rsid w:val="00295675"/>
    <w:pPr>
      <w:keepNext/>
      <w:spacing w:before="360" w:after="60"/>
      <w:outlineLvl w:val="0"/>
    </w:pPr>
    <w:rPr>
      <w:rFonts w:cs="Arial"/>
      <w:b/>
      <w:bCs/>
      <w:caps/>
      <w:kern w:val="32"/>
      <w:sz w:val="22"/>
    </w:rPr>
  </w:style>
  <w:style w:type="paragraph" w:styleId="Heading2">
    <w:name w:val="heading 2"/>
    <w:basedOn w:val="Normal"/>
    <w:next w:val="Normal"/>
    <w:qFormat/>
    <w:rsid w:val="00295675"/>
    <w:pPr>
      <w:keepNext/>
      <w:spacing w:before="240" w:after="60"/>
      <w:outlineLvl w:val="1"/>
    </w:pPr>
    <w:rPr>
      <w:rFonts w:cs="Arial"/>
      <w:b/>
      <w:bCs/>
      <w:iCs/>
      <w:sz w:val="22"/>
    </w:rPr>
  </w:style>
  <w:style w:type="paragraph" w:styleId="Heading3">
    <w:name w:val="heading 3"/>
    <w:basedOn w:val="Normal"/>
    <w:next w:val="Normal"/>
    <w:qFormat/>
    <w:rsid w:val="00295675"/>
    <w:pPr>
      <w:keepNext/>
      <w:spacing w:before="240" w:after="60"/>
      <w:outlineLvl w:val="2"/>
    </w:pPr>
    <w:rPr>
      <w:rFonts w:cs="Arial"/>
      <w:bCs/>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7ECC"/>
    <w:pPr>
      <w:tabs>
        <w:tab w:val="center" w:pos="4320"/>
        <w:tab w:val="right" w:pos="8640"/>
      </w:tabs>
    </w:pPr>
    <w:rPr>
      <w:rFonts w:ascii="Arial" w:hAnsi="Arial"/>
      <w:sz w:val="16"/>
    </w:rPr>
  </w:style>
  <w:style w:type="paragraph" w:styleId="Footer">
    <w:name w:val="footer"/>
    <w:basedOn w:val="Normal"/>
    <w:rsid w:val="00EC0638"/>
    <w:pPr>
      <w:tabs>
        <w:tab w:val="center" w:pos="4320"/>
        <w:tab w:val="right" w:pos="8640"/>
      </w:tabs>
    </w:pPr>
    <w:rPr>
      <w:rFonts w:ascii="Arial" w:hAnsi="Arial"/>
      <w:sz w:val="16"/>
    </w:rPr>
  </w:style>
  <w:style w:type="paragraph" w:customStyle="1" w:styleId="Bullet1">
    <w:name w:val="Bullet1"/>
    <w:qFormat/>
    <w:rsid w:val="00AE256E"/>
    <w:pPr>
      <w:numPr>
        <w:numId w:val="1"/>
      </w:numPr>
      <w:spacing w:before="60" w:after="60"/>
      <w:ind w:left="425" w:hanging="425"/>
    </w:pPr>
    <w:rPr>
      <w:rFonts w:ascii="Calibri" w:hAnsi="Calibri"/>
      <w:lang w:eastAsia="en-US"/>
    </w:rPr>
  </w:style>
  <w:style w:type="paragraph" w:customStyle="1" w:styleId="Bullet2">
    <w:name w:val="Bullet2"/>
    <w:qFormat/>
    <w:rsid w:val="00AE256E"/>
    <w:pPr>
      <w:numPr>
        <w:numId w:val="2"/>
      </w:numPr>
      <w:ind w:left="709" w:hanging="284"/>
    </w:pPr>
    <w:rPr>
      <w:rFonts w:ascii="Calibri" w:hAnsi="Calibri"/>
      <w:lang w:eastAsia="en-US"/>
    </w:rPr>
  </w:style>
  <w:style w:type="paragraph" w:styleId="ListParagraph">
    <w:name w:val="List Paragraph"/>
    <w:basedOn w:val="Normal"/>
    <w:uiPriority w:val="34"/>
    <w:rsid w:val="00DD390F"/>
    <w:pPr>
      <w:ind w:left="720"/>
      <w:contextualSpacing/>
    </w:pPr>
  </w:style>
  <w:style w:type="paragraph" w:styleId="BalloonText">
    <w:name w:val="Balloon Text"/>
    <w:basedOn w:val="Normal"/>
    <w:link w:val="BalloonTextChar"/>
    <w:rsid w:val="009A6CD7"/>
    <w:rPr>
      <w:rFonts w:ascii="Tahoma" w:hAnsi="Tahoma" w:cs="Tahoma"/>
      <w:sz w:val="16"/>
      <w:szCs w:val="16"/>
    </w:rPr>
  </w:style>
  <w:style w:type="character" w:customStyle="1" w:styleId="BalloonTextChar">
    <w:name w:val="Balloon Text Char"/>
    <w:basedOn w:val="DefaultParagraphFont"/>
    <w:link w:val="BalloonText"/>
    <w:rsid w:val="009A6CD7"/>
    <w:rPr>
      <w:rFonts w:ascii="Tahoma" w:hAnsi="Tahoma" w:cs="Tahoma"/>
      <w:sz w:val="16"/>
      <w:szCs w:val="16"/>
      <w:lang w:val="en-GB" w:eastAsia="en-US"/>
    </w:rPr>
  </w:style>
  <w:style w:type="table" w:styleId="TableGrid">
    <w:name w:val="Table Grid"/>
    <w:basedOn w:val="TableNormal"/>
    <w:rsid w:val="00D33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&lt;date&gt;</vt:lpstr>
    </vt:vector>
  </TitlesOfParts>
  <Company>Pegasus Health</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deborahc</dc:creator>
  <cp:keywords/>
  <dc:description/>
  <cp:lastModifiedBy>deborahc</cp:lastModifiedBy>
  <cp:revision>3</cp:revision>
  <cp:lastPrinted>2012-10-22T23:23:00Z</cp:lastPrinted>
  <dcterms:created xsi:type="dcterms:W3CDTF">2012-12-05T01:32:00Z</dcterms:created>
  <dcterms:modified xsi:type="dcterms:W3CDTF">2012-12-05T01:32:00Z</dcterms:modified>
</cp:coreProperties>
</file>