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82" w:rsidRDefault="00974282" w:rsidP="00974282"/>
    <w:p w:rsidR="009718FE" w:rsidRPr="002162A2" w:rsidRDefault="009718FE" w:rsidP="00092A77">
      <w:pPr>
        <w:jc w:val="center"/>
        <w:rPr>
          <w:b/>
          <w:sz w:val="32"/>
          <w:szCs w:val="32"/>
          <w:lang w:val="en-US"/>
        </w:rPr>
      </w:pPr>
      <w:r w:rsidRPr="002162A2">
        <w:rPr>
          <w:b/>
          <w:sz w:val="32"/>
          <w:szCs w:val="32"/>
          <w:lang w:val="en-US"/>
        </w:rPr>
        <w:t>Funding for General Practice Consultations</w:t>
      </w:r>
    </w:p>
    <w:p w:rsidR="009718FE" w:rsidRPr="002162A2" w:rsidRDefault="009718FE" w:rsidP="002162A2">
      <w:pPr>
        <w:pBdr>
          <w:bottom w:val="single" w:sz="4" w:space="1" w:color="auto"/>
        </w:pBdr>
        <w:spacing w:line="360" w:lineRule="auto"/>
        <w:jc w:val="center"/>
        <w:rPr>
          <w:b/>
          <w:sz w:val="32"/>
          <w:szCs w:val="32"/>
          <w:lang w:val="en-US"/>
        </w:rPr>
      </w:pPr>
      <w:r w:rsidRPr="002162A2">
        <w:rPr>
          <w:b/>
          <w:sz w:val="32"/>
          <w:szCs w:val="32"/>
          <w:lang w:val="en-US"/>
        </w:rPr>
        <w:t>14 March – 10 April 2011</w:t>
      </w:r>
    </w:p>
    <w:p w:rsidR="009718FE" w:rsidRPr="00092A77" w:rsidRDefault="009718FE" w:rsidP="00092A77">
      <w:pPr>
        <w:jc w:val="center"/>
        <w:rPr>
          <w:b/>
          <w:sz w:val="26"/>
          <w:szCs w:val="26"/>
          <w:lang w:val="en-US"/>
        </w:rPr>
      </w:pPr>
    </w:p>
    <w:p w:rsidR="00140B22" w:rsidRPr="00C56D85" w:rsidRDefault="009718FE" w:rsidP="00974282">
      <w:pPr>
        <w:pStyle w:val="Heading1"/>
        <w:rPr>
          <w:szCs w:val="22"/>
          <w:lang w:val="en-US"/>
        </w:rPr>
      </w:pPr>
      <w:r w:rsidRPr="00C56D85">
        <w:rPr>
          <w:szCs w:val="22"/>
          <w:lang w:val="en-US"/>
        </w:rPr>
        <w:t xml:space="preserve">Introduction </w:t>
      </w:r>
    </w:p>
    <w:p w:rsidR="00C56D85" w:rsidRPr="00C56D85" w:rsidRDefault="002941A5" w:rsidP="00092A77">
      <w:pPr>
        <w:pStyle w:val="BodyText"/>
        <w:rPr>
          <w:sz w:val="22"/>
          <w:szCs w:val="22"/>
        </w:rPr>
      </w:pPr>
      <w:r>
        <w:rPr>
          <w:sz w:val="22"/>
          <w:szCs w:val="22"/>
        </w:rPr>
        <w:t>T</w:t>
      </w:r>
      <w:r w:rsidR="005E36D6">
        <w:rPr>
          <w:sz w:val="22"/>
          <w:szCs w:val="22"/>
        </w:rPr>
        <w:t xml:space="preserve">he 9 March Practice Viability </w:t>
      </w:r>
      <w:r w:rsidR="00957AD2">
        <w:rPr>
          <w:sz w:val="22"/>
          <w:szCs w:val="22"/>
        </w:rPr>
        <w:t>notice</w:t>
      </w:r>
      <w:r w:rsidR="005E36D6">
        <w:rPr>
          <w:sz w:val="22"/>
          <w:szCs w:val="22"/>
        </w:rPr>
        <w:t xml:space="preserve"> </w:t>
      </w:r>
      <w:r w:rsidR="001F6B0A">
        <w:rPr>
          <w:sz w:val="22"/>
          <w:szCs w:val="22"/>
        </w:rPr>
        <w:t>advised</w:t>
      </w:r>
      <w:r w:rsidR="005E36D6">
        <w:rPr>
          <w:sz w:val="22"/>
          <w:szCs w:val="22"/>
        </w:rPr>
        <w:t xml:space="preserve"> that further information would be sent regarding subsidy for consultations for the rest of the month.  This </w:t>
      </w:r>
      <w:r w:rsidR="00957AD2">
        <w:rPr>
          <w:sz w:val="22"/>
          <w:szCs w:val="22"/>
        </w:rPr>
        <w:t>notice</w:t>
      </w:r>
      <w:r w:rsidR="005E36D6">
        <w:rPr>
          <w:sz w:val="22"/>
          <w:szCs w:val="22"/>
        </w:rPr>
        <w:t xml:space="preserve"> contains this new information</w:t>
      </w:r>
      <w:r w:rsidR="009718FE" w:rsidRPr="00C56D85">
        <w:rPr>
          <w:sz w:val="22"/>
          <w:szCs w:val="22"/>
        </w:rPr>
        <w:t xml:space="preserve">. </w:t>
      </w:r>
    </w:p>
    <w:p w:rsidR="005E36D6" w:rsidRDefault="009718FE" w:rsidP="00622F68">
      <w:pPr>
        <w:pStyle w:val="BodyText"/>
        <w:rPr>
          <w:sz w:val="22"/>
          <w:szCs w:val="22"/>
        </w:rPr>
      </w:pPr>
      <w:r w:rsidRPr="00C56D85">
        <w:rPr>
          <w:sz w:val="22"/>
          <w:szCs w:val="22"/>
        </w:rPr>
        <w:t xml:space="preserve">Following the 22 February earthquake the DHB have funded a special package to enable appropriate access to healthcare. </w:t>
      </w:r>
      <w:r w:rsidR="00957AD2">
        <w:rPr>
          <w:sz w:val="22"/>
          <w:szCs w:val="22"/>
        </w:rPr>
        <w:t xml:space="preserve"> </w:t>
      </w:r>
      <w:r w:rsidR="00FF04EE">
        <w:rPr>
          <w:sz w:val="22"/>
          <w:szCs w:val="22"/>
          <w:lang w:val="en-US"/>
        </w:rPr>
        <w:t>F</w:t>
      </w:r>
      <w:r w:rsidR="00FF04EE" w:rsidRPr="00C56D85">
        <w:rPr>
          <w:sz w:val="22"/>
          <w:szCs w:val="22"/>
          <w:lang w:val="en-US"/>
        </w:rPr>
        <w:t xml:space="preserve">rom </w:t>
      </w:r>
      <w:r w:rsidR="00FF04EE">
        <w:rPr>
          <w:sz w:val="22"/>
          <w:szCs w:val="22"/>
          <w:lang w:val="en-US"/>
        </w:rPr>
        <w:t xml:space="preserve">Monday </w:t>
      </w:r>
      <w:r w:rsidR="00FF04EE" w:rsidRPr="00C56D85">
        <w:rPr>
          <w:sz w:val="22"/>
          <w:szCs w:val="22"/>
          <w:lang w:val="en-US"/>
        </w:rPr>
        <w:t>14 March until 10 April 2011</w:t>
      </w:r>
      <w:r w:rsidR="00FF04EE">
        <w:rPr>
          <w:sz w:val="22"/>
          <w:szCs w:val="22"/>
          <w:lang w:val="en-US"/>
        </w:rPr>
        <w:t>, t</w:t>
      </w:r>
      <w:r w:rsidRPr="00C56D85">
        <w:rPr>
          <w:sz w:val="22"/>
          <w:szCs w:val="22"/>
        </w:rPr>
        <w:t>he DHB have agreed to support targeted groups to ensure they continue to acce</w:t>
      </w:r>
      <w:r w:rsidR="00622F68" w:rsidRPr="00C56D85">
        <w:rPr>
          <w:sz w:val="22"/>
          <w:szCs w:val="22"/>
        </w:rPr>
        <w:t>ss treatment in the community.</w:t>
      </w:r>
    </w:p>
    <w:p w:rsidR="00092A77" w:rsidRPr="00C56D85" w:rsidRDefault="005E36D6" w:rsidP="00622F68">
      <w:pPr>
        <w:pStyle w:val="BodyText"/>
        <w:rPr>
          <w:sz w:val="22"/>
          <w:szCs w:val="22"/>
        </w:rPr>
      </w:pPr>
      <w:r>
        <w:rPr>
          <w:sz w:val="22"/>
          <w:szCs w:val="22"/>
        </w:rPr>
        <w:t xml:space="preserve">The </w:t>
      </w:r>
      <w:r w:rsidR="00FF04EE">
        <w:rPr>
          <w:sz w:val="22"/>
          <w:szCs w:val="22"/>
        </w:rPr>
        <w:t xml:space="preserve">proposed </w:t>
      </w:r>
      <w:r>
        <w:rPr>
          <w:sz w:val="22"/>
          <w:szCs w:val="22"/>
        </w:rPr>
        <w:t>subsidy covers two main areas:  practice visits; and broadening the criteria for accessing funding for ADMS (Acute Demand).</w:t>
      </w:r>
      <w:r w:rsidR="003D0906">
        <w:rPr>
          <w:sz w:val="22"/>
          <w:szCs w:val="22"/>
        </w:rPr>
        <w:t xml:space="preserve">  We have tried to make this notice clear and understandable.  However,</w:t>
      </w:r>
      <w:r w:rsidR="003D0906" w:rsidRPr="003D0906">
        <w:rPr>
          <w:sz w:val="22"/>
          <w:szCs w:val="22"/>
        </w:rPr>
        <w:t xml:space="preserve"> </w:t>
      </w:r>
      <w:r w:rsidR="003D0906">
        <w:rPr>
          <w:sz w:val="22"/>
          <w:szCs w:val="22"/>
        </w:rPr>
        <w:t>the complexity of these changes is acknowledged and it may take a couple of readings to comprehend.</w:t>
      </w:r>
    </w:p>
    <w:p w:rsidR="00092A77" w:rsidRPr="00C56D85" w:rsidRDefault="00092A77" w:rsidP="00092A77">
      <w:pPr>
        <w:pStyle w:val="Heading1"/>
        <w:rPr>
          <w:szCs w:val="22"/>
        </w:rPr>
      </w:pPr>
      <w:r w:rsidRPr="00C56D85">
        <w:rPr>
          <w:szCs w:val="22"/>
        </w:rPr>
        <w:t xml:space="preserve">Practice Visits </w:t>
      </w:r>
    </w:p>
    <w:p w:rsidR="00092A77" w:rsidRPr="00C56D85" w:rsidRDefault="00092A77" w:rsidP="0041636A">
      <w:pPr>
        <w:pStyle w:val="BodyText"/>
        <w:rPr>
          <w:sz w:val="22"/>
          <w:szCs w:val="22"/>
          <w:lang w:val="en-US"/>
        </w:rPr>
      </w:pPr>
      <w:r w:rsidRPr="00C56D85">
        <w:rPr>
          <w:sz w:val="22"/>
          <w:szCs w:val="22"/>
          <w:lang w:val="en-US"/>
        </w:rPr>
        <w:t xml:space="preserve">GPs </w:t>
      </w:r>
      <w:r w:rsidR="00C56D85" w:rsidRPr="00C56D85">
        <w:rPr>
          <w:sz w:val="22"/>
          <w:szCs w:val="22"/>
          <w:lang w:val="en-US"/>
        </w:rPr>
        <w:t xml:space="preserve">are </w:t>
      </w:r>
      <w:r w:rsidRPr="00C56D85">
        <w:rPr>
          <w:sz w:val="22"/>
          <w:szCs w:val="22"/>
          <w:lang w:val="en-US"/>
        </w:rPr>
        <w:t xml:space="preserve">to use their discretion </w:t>
      </w:r>
      <w:r w:rsidR="00957AD2">
        <w:rPr>
          <w:sz w:val="22"/>
          <w:szCs w:val="22"/>
          <w:lang w:val="en-US"/>
        </w:rPr>
        <w:t>within guidelines</w:t>
      </w:r>
      <w:r w:rsidR="00FF04EE">
        <w:rPr>
          <w:sz w:val="22"/>
          <w:szCs w:val="22"/>
          <w:lang w:val="en-US"/>
        </w:rPr>
        <w:t>,</w:t>
      </w:r>
      <w:r w:rsidR="00957AD2">
        <w:rPr>
          <w:sz w:val="22"/>
          <w:szCs w:val="22"/>
          <w:lang w:val="en-US"/>
        </w:rPr>
        <w:t xml:space="preserve"> at 2.1 below, </w:t>
      </w:r>
      <w:r w:rsidR="00FF04EE">
        <w:rPr>
          <w:sz w:val="22"/>
          <w:szCs w:val="22"/>
          <w:lang w:val="en-US"/>
        </w:rPr>
        <w:t>when</w:t>
      </w:r>
      <w:r w:rsidRPr="00C56D85">
        <w:rPr>
          <w:sz w:val="22"/>
          <w:szCs w:val="22"/>
          <w:lang w:val="en-US"/>
        </w:rPr>
        <w:t xml:space="preserve"> offering free healthcare to patients</w:t>
      </w:r>
      <w:r w:rsidR="00FF04EE">
        <w:rPr>
          <w:sz w:val="22"/>
          <w:szCs w:val="22"/>
          <w:lang w:val="en-US"/>
        </w:rPr>
        <w:t xml:space="preserve">, </w:t>
      </w:r>
      <w:r w:rsidR="00AD7D86">
        <w:rPr>
          <w:sz w:val="22"/>
          <w:szCs w:val="22"/>
          <w:lang w:val="en-US"/>
        </w:rPr>
        <w:t>includ</w:t>
      </w:r>
      <w:r w:rsidR="00FF04EE">
        <w:rPr>
          <w:sz w:val="22"/>
          <w:szCs w:val="22"/>
          <w:lang w:val="en-US"/>
        </w:rPr>
        <w:t>ing</w:t>
      </w:r>
      <w:r w:rsidR="00AD7D86">
        <w:rPr>
          <w:sz w:val="22"/>
          <w:szCs w:val="22"/>
          <w:lang w:val="en-US"/>
        </w:rPr>
        <w:t xml:space="preserve"> their </w:t>
      </w:r>
      <w:r w:rsidRPr="00C56D85">
        <w:rPr>
          <w:sz w:val="22"/>
          <w:szCs w:val="22"/>
          <w:lang w:val="en-US"/>
        </w:rPr>
        <w:t xml:space="preserve">enrolled patients and those who have been displaced because of the </w:t>
      </w:r>
      <w:proofErr w:type="gramStart"/>
      <w:r w:rsidRPr="00C56D85">
        <w:rPr>
          <w:sz w:val="22"/>
          <w:szCs w:val="22"/>
          <w:lang w:val="en-US"/>
        </w:rPr>
        <w:t>earthquake</w:t>
      </w:r>
      <w:proofErr w:type="gramEnd"/>
      <w:r w:rsidRPr="00C56D85">
        <w:rPr>
          <w:sz w:val="22"/>
          <w:szCs w:val="22"/>
          <w:lang w:val="en-US"/>
        </w:rPr>
        <w:t xml:space="preserve">. </w:t>
      </w:r>
    </w:p>
    <w:p w:rsidR="00092A77" w:rsidRPr="00C56D85" w:rsidRDefault="00092A77" w:rsidP="00FF04EE">
      <w:pPr>
        <w:pStyle w:val="Heading2"/>
        <w:tabs>
          <w:tab w:val="clear" w:pos="576"/>
          <w:tab w:val="num" w:pos="709"/>
        </w:tabs>
        <w:ind w:left="709" w:hanging="709"/>
        <w:rPr>
          <w:szCs w:val="22"/>
          <w:lang w:val="en-US"/>
        </w:rPr>
      </w:pPr>
      <w:r w:rsidRPr="00C56D85">
        <w:rPr>
          <w:szCs w:val="22"/>
          <w:lang w:val="en-US"/>
        </w:rPr>
        <w:t>Socioeconomically Deprived</w:t>
      </w:r>
      <w:r w:rsidR="00FF04EE">
        <w:rPr>
          <w:szCs w:val="22"/>
          <w:lang w:val="en-US"/>
        </w:rPr>
        <w:t xml:space="preserve"> Patients</w:t>
      </w:r>
      <w:r w:rsidRPr="00C56D85">
        <w:rPr>
          <w:szCs w:val="22"/>
          <w:lang w:val="en-US"/>
        </w:rPr>
        <w:t xml:space="preserve"> </w:t>
      </w:r>
    </w:p>
    <w:p w:rsidR="00092A77" w:rsidRPr="00C56D85" w:rsidRDefault="00092A77" w:rsidP="007E1971">
      <w:pPr>
        <w:pStyle w:val="BodyText"/>
        <w:rPr>
          <w:sz w:val="22"/>
          <w:szCs w:val="22"/>
          <w:lang w:val="en-US"/>
        </w:rPr>
      </w:pPr>
      <w:r w:rsidRPr="00C56D85">
        <w:rPr>
          <w:sz w:val="22"/>
          <w:szCs w:val="22"/>
          <w:lang w:val="en-US"/>
        </w:rPr>
        <w:t xml:space="preserve">Poverty and health are closely linked. Those people with poverty issues require support to ensure </w:t>
      </w:r>
      <w:r w:rsidR="002162A2" w:rsidRPr="00C56D85">
        <w:rPr>
          <w:sz w:val="22"/>
          <w:szCs w:val="22"/>
          <w:lang w:val="en-US"/>
        </w:rPr>
        <w:t>they</w:t>
      </w:r>
      <w:r w:rsidRPr="00C56D85">
        <w:rPr>
          <w:sz w:val="22"/>
          <w:szCs w:val="22"/>
          <w:lang w:val="en-US"/>
        </w:rPr>
        <w:t xml:space="preserve"> are able to visit their general practice teams. There are two groups in the post-earthquake rec</w:t>
      </w:r>
      <w:r w:rsidR="007E1971" w:rsidRPr="00C56D85">
        <w:rPr>
          <w:sz w:val="22"/>
          <w:szCs w:val="22"/>
          <w:lang w:val="en-US"/>
        </w:rPr>
        <w:t>overy which will be supported</w:t>
      </w:r>
      <w:r w:rsidR="00AD7D86">
        <w:rPr>
          <w:sz w:val="22"/>
          <w:szCs w:val="22"/>
          <w:lang w:val="en-US"/>
        </w:rPr>
        <w:t xml:space="preserve"> by free healthcare</w:t>
      </w:r>
      <w:r w:rsidR="007E1971" w:rsidRPr="00C56D85">
        <w:rPr>
          <w:sz w:val="22"/>
          <w:szCs w:val="22"/>
          <w:lang w:val="en-US"/>
        </w:rPr>
        <w:t xml:space="preserve">: </w:t>
      </w:r>
    </w:p>
    <w:p w:rsidR="00092A77" w:rsidRPr="00C56D85" w:rsidRDefault="00092A77" w:rsidP="007E1971">
      <w:pPr>
        <w:pStyle w:val="Bullet1"/>
        <w:rPr>
          <w:sz w:val="22"/>
          <w:szCs w:val="22"/>
          <w:lang w:val="en-US"/>
        </w:rPr>
      </w:pPr>
      <w:r w:rsidRPr="00C56D85">
        <w:rPr>
          <w:sz w:val="22"/>
          <w:szCs w:val="22"/>
          <w:lang w:val="en-US"/>
        </w:rPr>
        <w:t>Those socioeconomically deprived prior to the earthquake</w:t>
      </w:r>
    </w:p>
    <w:p w:rsidR="00092A77" w:rsidRPr="00C56D85" w:rsidRDefault="00092A77" w:rsidP="007E1971">
      <w:pPr>
        <w:pStyle w:val="Bullet1"/>
        <w:rPr>
          <w:sz w:val="22"/>
          <w:szCs w:val="22"/>
          <w:lang w:val="en-US"/>
        </w:rPr>
      </w:pPr>
      <w:r w:rsidRPr="00C56D85">
        <w:rPr>
          <w:sz w:val="22"/>
          <w:szCs w:val="22"/>
          <w:lang w:val="en-US"/>
        </w:rPr>
        <w:t>Those socioeconomically deprived as a result of the earthquake</w:t>
      </w:r>
    </w:p>
    <w:p w:rsidR="007E1971" w:rsidRPr="00C56D85" w:rsidRDefault="002A3F54" w:rsidP="00957AD2">
      <w:pPr>
        <w:pStyle w:val="Heading3"/>
        <w:ind w:left="0" w:firstLine="709"/>
        <w:rPr>
          <w:szCs w:val="22"/>
          <w:lang w:val="en-US"/>
        </w:rPr>
      </w:pPr>
      <w:r>
        <w:rPr>
          <w:szCs w:val="22"/>
          <w:lang w:val="en-US"/>
        </w:rPr>
        <w:t>Those s</w:t>
      </w:r>
      <w:r w:rsidR="007E1971" w:rsidRPr="00C56D85">
        <w:rPr>
          <w:szCs w:val="22"/>
          <w:lang w:val="en-US"/>
        </w:rPr>
        <w:t xml:space="preserve">ocioeconomically </w:t>
      </w:r>
      <w:r>
        <w:rPr>
          <w:szCs w:val="22"/>
          <w:lang w:val="en-US"/>
        </w:rPr>
        <w:t>d</w:t>
      </w:r>
      <w:r w:rsidR="00C56D85" w:rsidRPr="00C56D85">
        <w:rPr>
          <w:szCs w:val="22"/>
          <w:lang w:val="en-US"/>
        </w:rPr>
        <w:t xml:space="preserve">eprived </w:t>
      </w:r>
      <w:r w:rsidR="002162A2" w:rsidRPr="00C56D85">
        <w:rPr>
          <w:szCs w:val="22"/>
          <w:lang w:val="en-US"/>
        </w:rPr>
        <w:t>prior</w:t>
      </w:r>
      <w:r w:rsidR="007E1971" w:rsidRPr="00C56D85">
        <w:rPr>
          <w:szCs w:val="22"/>
          <w:lang w:val="en-US"/>
        </w:rPr>
        <w:t xml:space="preserve"> to the Earthquake</w:t>
      </w:r>
      <w:r w:rsidR="005E36D6">
        <w:rPr>
          <w:szCs w:val="22"/>
          <w:lang w:val="en-US"/>
        </w:rPr>
        <w:t>, including</w:t>
      </w:r>
      <w:r>
        <w:rPr>
          <w:szCs w:val="22"/>
          <w:lang w:val="en-US"/>
        </w:rPr>
        <w:t xml:space="preserve"> those who receive:</w:t>
      </w:r>
      <w:r w:rsidR="007E1971" w:rsidRPr="00C56D85">
        <w:rPr>
          <w:szCs w:val="22"/>
          <w:lang w:val="en-US"/>
        </w:rPr>
        <w:t xml:space="preserve"> </w:t>
      </w:r>
    </w:p>
    <w:p w:rsidR="007E1971" w:rsidRPr="00C56D85" w:rsidRDefault="002162A2" w:rsidP="00CB0920">
      <w:pPr>
        <w:pStyle w:val="Bullet1"/>
        <w:spacing w:after="0"/>
        <w:ind w:left="1570"/>
        <w:rPr>
          <w:sz w:val="22"/>
          <w:szCs w:val="22"/>
          <w:lang w:val="en-US"/>
        </w:rPr>
      </w:pPr>
      <w:r w:rsidRPr="00C56D85">
        <w:rPr>
          <w:sz w:val="22"/>
          <w:szCs w:val="22"/>
          <w:lang w:val="en-US"/>
        </w:rPr>
        <w:t>Domestic</w:t>
      </w:r>
      <w:r w:rsidR="007E1971" w:rsidRPr="00C56D85">
        <w:rPr>
          <w:sz w:val="22"/>
          <w:szCs w:val="22"/>
          <w:lang w:val="en-US"/>
        </w:rPr>
        <w:t xml:space="preserve"> purposes benefit</w:t>
      </w:r>
    </w:p>
    <w:p w:rsidR="007E1971" w:rsidRPr="00C56D85" w:rsidRDefault="007E1971" w:rsidP="00CB0920">
      <w:pPr>
        <w:pStyle w:val="Bullet1"/>
        <w:spacing w:before="0" w:after="0"/>
        <w:ind w:left="1570"/>
        <w:rPr>
          <w:sz w:val="22"/>
          <w:szCs w:val="22"/>
          <w:lang w:val="en-US"/>
        </w:rPr>
      </w:pPr>
      <w:r w:rsidRPr="00C56D85">
        <w:rPr>
          <w:sz w:val="22"/>
          <w:szCs w:val="22"/>
          <w:lang w:val="en-US"/>
        </w:rPr>
        <w:t>Independent youth benefit</w:t>
      </w:r>
    </w:p>
    <w:p w:rsidR="007E1971" w:rsidRPr="00C56D85" w:rsidRDefault="007E1971" w:rsidP="00CB0920">
      <w:pPr>
        <w:pStyle w:val="Bullet1"/>
        <w:spacing w:before="0" w:after="0"/>
        <w:ind w:left="1570"/>
        <w:rPr>
          <w:sz w:val="22"/>
          <w:szCs w:val="22"/>
          <w:lang w:val="en-US"/>
        </w:rPr>
      </w:pPr>
      <w:r w:rsidRPr="00C56D85">
        <w:rPr>
          <w:sz w:val="22"/>
          <w:szCs w:val="22"/>
          <w:lang w:val="en-US"/>
        </w:rPr>
        <w:t>Sickness benefit</w:t>
      </w:r>
    </w:p>
    <w:p w:rsidR="007E1971" w:rsidRPr="00C56D85" w:rsidRDefault="007E1971" w:rsidP="00CB0920">
      <w:pPr>
        <w:pStyle w:val="Bullet1"/>
        <w:spacing w:before="0" w:after="0"/>
        <w:ind w:left="1570"/>
        <w:rPr>
          <w:sz w:val="22"/>
          <w:szCs w:val="22"/>
          <w:lang w:val="en-US"/>
        </w:rPr>
      </w:pPr>
      <w:r w:rsidRPr="00C56D85">
        <w:rPr>
          <w:sz w:val="22"/>
          <w:szCs w:val="22"/>
          <w:lang w:val="en-US"/>
        </w:rPr>
        <w:t>Invalids benefit</w:t>
      </w:r>
    </w:p>
    <w:p w:rsidR="007E1971" w:rsidRPr="00C56D85" w:rsidRDefault="007E1971" w:rsidP="00CB0920">
      <w:pPr>
        <w:pStyle w:val="Bullet1"/>
        <w:spacing w:before="0"/>
        <w:ind w:left="1570"/>
        <w:rPr>
          <w:sz w:val="22"/>
          <w:szCs w:val="22"/>
          <w:lang w:val="en-US"/>
        </w:rPr>
      </w:pPr>
      <w:r w:rsidRPr="00C56D85">
        <w:rPr>
          <w:sz w:val="22"/>
          <w:szCs w:val="22"/>
          <w:lang w:val="en-US"/>
        </w:rPr>
        <w:t>Unemployment benefit</w:t>
      </w:r>
    </w:p>
    <w:p w:rsidR="007E1971" w:rsidRPr="00C56D85" w:rsidRDefault="002A3F54" w:rsidP="00957AD2">
      <w:pPr>
        <w:pStyle w:val="Heading3"/>
        <w:ind w:left="0" w:firstLine="709"/>
        <w:rPr>
          <w:szCs w:val="22"/>
          <w:lang w:val="en-US"/>
        </w:rPr>
      </w:pPr>
      <w:r>
        <w:rPr>
          <w:szCs w:val="22"/>
          <w:lang w:val="en-US"/>
        </w:rPr>
        <w:t>Those socioeconomically d</w:t>
      </w:r>
      <w:r w:rsidR="002162A2" w:rsidRPr="00C56D85">
        <w:rPr>
          <w:szCs w:val="22"/>
          <w:lang w:val="en-US"/>
        </w:rPr>
        <w:t>eprived</w:t>
      </w:r>
      <w:r w:rsidR="00C56D85" w:rsidRPr="00C56D85">
        <w:rPr>
          <w:szCs w:val="22"/>
          <w:lang w:val="en-US"/>
        </w:rPr>
        <w:t xml:space="preserve"> a</w:t>
      </w:r>
      <w:r w:rsidR="002162A2" w:rsidRPr="00C56D85">
        <w:rPr>
          <w:szCs w:val="22"/>
          <w:lang w:val="en-US"/>
        </w:rPr>
        <w:t>fter the Earthquake</w:t>
      </w:r>
      <w:r w:rsidR="005E36D6">
        <w:rPr>
          <w:szCs w:val="22"/>
          <w:lang w:val="en-US"/>
        </w:rPr>
        <w:t>,</w:t>
      </w:r>
      <w:r w:rsidR="00E16F5D">
        <w:rPr>
          <w:szCs w:val="22"/>
          <w:lang w:val="en-US"/>
        </w:rPr>
        <w:t xml:space="preserve"> </w:t>
      </w:r>
      <w:r>
        <w:rPr>
          <w:szCs w:val="22"/>
          <w:lang w:val="en-US"/>
        </w:rPr>
        <w:t>who now receive</w:t>
      </w:r>
      <w:r w:rsidR="002162A2" w:rsidRPr="00C56D85">
        <w:rPr>
          <w:szCs w:val="22"/>
          <w:lang w:val="en-US"/>
        </w:rPr>
        <w:t xml:space="preserve"> </w:t>
      </w:r>
    </w:p>
    <w:p w:rsidR="002A3F54" w:rsidRPr="00C56D85" w:rsidRDefault="002A3F54" w:rsidP="002A3F54">
      <w:pPr>
        <w:pStyle w:val="Bullet1"/>
        <w:spacing w:before="0" w:after="0"/>
        <w:ind w:left="1570"/>
        <w:rPr>
          <w:sz w:val="22"/>
          <w:szCs w:val="22"/>
        </w:rPr>
      </w:pPr>
      <w:r w:rsidRPr="00C56D85">
        <w:rPr>
          <w:sz w:val="22"/>
          <w:szCs w:val="22"/>
        </w:rPr>
        <w:t>One of the benefits as listed above</w:t>
      </w:r>
    </w:p>
    <w:p w:rsidR="007E1971" w:rsidRPr="00C56D85" w:rsidRDefault="007E1971" w:rsidP="00CB0920">
      <w:pPr>
        <w:pStyle w:val="Bullet1"/>
        <w:spacing w:before="0" w:after="0"/>
        <w:ind w:left="1570"/>
        <w:rPr>
          <w:sz w:val="22"/>
          <w:szCs w:val="22"/>
        </w:rPr>
      </w:pPr>
      <w:r w:rsidRPr="00C56D85">
        <w:rPr>
          <w:sz w:val="22"/>
          <w:szCs w:val="22"/>
        </w:rPr>
        <w:t>Earthquake employment support package provided by WINZ/MSD</w:t>
      </w:r>
    </w:p>
    <w:p w:rsidR="007E1971" w:rsidRPr="00C56D85" w:rsidRDefault="007E1971" w:rsidP="00CB0920">
      <w:pPr>
        <w:pStyle w:val="Bullet1"/>
        <w:spacing w:before="0" w:after="0"/>
        <w:ind w:left="1570"/>
        <w:rPr>
          <w:sz w:val="22"/>
          <w:szCs w:val="22"/>
        </w:rPr>
      </w:pPr>
      <w:r w:rsidRPr="00C56D85">
        <w:rPr>
          <w:sz w:val="22"/>
          <w:szCs w:val="22"/>
        </w:rPr>
        <w:t xml:space="preserve">Earthquake related </w:t>
      </w:r>
      <w:r w:rsidR="002162A2" w:rsidRPr="00C56D85">
        <w:rPr>
          <w:sz w:val="22"/>
          <w:szCs w:val="22"/>
        </w:rPr>
        <w:t>bereavement</w:t>
      </w:r>
      <w:r w:rsidRPr="00C56D85">
        <w:rPr>
          <w:sz w:val="22"/>
          <w:szCs w:val="22"/>
        </w:rPr>
        <w:t xml:space="preserve"> grant from Red Cross</w:t>
      </w:r>
    </w:p>
    <w:p w:rsidR="007E1971" w:rsidRPr="00C56D85" w:rsidRDefault="007E1971" w:rsidP="00CB0920">
      <w:pPr>
        <w:pStyle w:val="Bullet1"/>
        <w:spacing w:before="0" w:after="0"/>
        <w:ind w:left="1570"/>
        <w:rPr>
          <w:sz w:val="22"/>
          <w:szCs w:val="22"/>
        </w:rPr>
      </w:pPr>
      <w:r w:rsidRPr="00C56D85">
        <w:rPr>
          <w:sz w:val="22"/>
          <w:szCs w:val="22"/>
        </w:rPr>
        <w:t>Emergency and hardship grant from Red Cross</w:t>
      </w:r>
    </w:p>
    <w:p w:rsidR="007E1971" w:rsidRPr="00C56D85" w:rsidRDefault="002A3F54" w:rsidP="00CB0920">
      <w:pPr>
        <w:pStyle w:val="Bullet1"/>
        <w:spacing w:before="0" w:after="0"/>
        <w:ind w:left="1570"/>
        <w:rPr>
          <w:sz w:val="22"/>
          <w:szCs w:val="22"/>
        </w:rPr>
      </w:pPr>
      <w:r>
        <w:rPr>
          <w:sz w:val="22"/>
          <w:szCs w:val="22"/>
        </w:rPr>
        <w:t>S</w:t>
      </w:r>
      <w:r w:rsidR="007E1971" w:rsidRPr="00C56D85">
        <w:rPr>
          <w:sz w:val="22"/>
          <w:szCs w:val="22"/>
        </w:rPr>
        <w:t>pecial food grants or fo</w:t>
      </w:r>
      <w:r>
        <w:rPr>
          <w:sz w:val="22"/>
          <w:szCs w:val="22"/>
        </w:rPr>
        <w:t>od banks</w:t>
      </w:r>
    </w:p>
    <w:p w:rsidR="00622F68" w:rsidRPr="00C56D85" w:rsidRDefault="00AD7D86" w:rsidP="00CB0920">
      <w:pPr>
        <w:pStyle w:val="Bullet1"/>
        <w:numPr>
          <w:ilvl w:val="0"/>
          <w:numId w:val="0"/>
        </w:numPr>
        <w:spacing w:before="240"/>
        <w:ind w:left="709"/>
        <w:rPr>
          <w:sz w:val="22"/>
          <w:szCs w:val="22"/>
          <w:lang w:val="en-US"/>
        </w:rPr>
      </w:pPr>
      <w:r w:rsidRPr="003D0906">
        <w:rPr>
          <w:b/>
          <w:sz w:val="22"/>
          <w:szCs w:val="22"/>
          <w:lang w:val="en-US"/>
        </w:rPr>
        <w:t>A</w:t>
      </w:r>
      <w:r w:rsidR="00E16F5D" w:rsidRPr="003D0906">
        <w:rPr>
          <w:b/>
          <w:sz w:val="22"/>
          <w:szCs w:val="22"/>
          <w:lang w:val="en-US"/>
        </w:rPr>
        <w:t>ligned with a ‘high trust, low bureaucracy’ approach,</w:t>
      </w:r>
      <w:r w:rsidRPr="003D0906">
        <w:rPr>
          <w:b/>
          <w:sz w:val="22"/>
          <w:szCs w:val="22"/>
          <w:lang w:val="en-US"/>
        </w:rPr>
        <w:t xml:space="preserve"> </w:t>
      </w:r>
      <w:r w:rsidR="00E16F5D" w:rsidRPr="003D0906">
        <w:rPr>
          <w:b/>
          <w:sz w:val="22"/>
          <w:szCs w:val="22"/>
          <w:lang w:val="en-US"/>
        </w:rPr>
        <w:t xml:space="preserve">the </w:t>
      </w:r>
      <w:r w:rsidRPr="003D0906">
        <w:rPr>
          <w:b/>
          <w:sz w:val="22"/>
          <w:szCs w:val="22"/>
          <w:lang w:val="en-US"/>
        </w:rPr>
        <w:t xml:space="preserve">free visit </w:t>
      </w:r>
      <w:r w:rsidR="00E16F5D" w:rsidRPr="003D0906">
        <w:rPr>
          <w:b/>
          <w:sz w:val="22"/>
          <w:szCs w:val="22"/>
          <w:lang w:val="en-US"/>
        </w:rPr>
        <w:t xml:space="preserve">allocation </w:t>
      </w:r>
      <w:r w:rsidR="007E1971" w:rsidRPr="003D0906">
        <w:rPr>
          <w:b/>
          <w:sz w:val="22"/>
          <w:szCs w:val="22"/>
          <w:lang w:val="en-US"/>
        </w:rPr>
        <w:t xml:space="preserve">is </w:t>
      </w:r>
      <w:r w:rsidR="002A3F54">
        <w:rPr>
          <w:b/>
          <w:sz w:val="22"/>
          <w:szCs w:val="22"/>
          <w:lang w:val="en-US"/>
        </w:rPr>
        <w:t xml:space="preserve">to be </w:t>
      </w:r>
      <w:r w:rsidR="003D0906">
        <w:rPr>
          <w:b/>
          <w:sz w:val="22"/>
          <w:szCs w:val="22"/>
          <w:lang w:val="en-US"/>
        </w:rPr>
        <w:t xml:space="preserve">the </w:t>
      </w:r>
      <w:r w:rsidR="007E1971" w:rsidRPr="003D0906">
        <w:rPr>
          <w:b/>
          <w:sz w:val="22"/>
          <w:szCs w:val="22"/>
          <w:lang w:val="en-US"/>
        </w:rPr>
        <w:t>GP</w:t>
      </w:r>
      <w:r w:rsidR="003D0906">
        <w:rPr>
          <w:b/>
          <w:sz w:val="22"/>
          <w:szCs w:val="22"/>
          <w:lang w:val="en-US"/>
        </w:rPr>
        <w:t>’s</w:t>
      </w:r>
      <w:r w:rsidR="007E1971" w:rsidRPr="003D0906">
        <w:rPr>
          <w:b/>
          <w:sz w:val="22"/>
          <w:szCs w:val="22"/>
          <w:lang w:val="en-US"/>
        </w:rPr>
        <w:t xml:space="preserve"> </w:t>
      </w:r>
      <w:r w:rsidR="007E1971" w:rsidRPr="003D0906">
        <w:rPr>
          <w:b/>
          <w:sz w:val="22"/>
          <w:szCs w:val="22"/>
        </w:rPr>
        <w:t>discretion</w:t>
      </w:r>
      <w:r w:rsidR="00E16F5D" w:rsidRPr="003D0906">
        <w:rPr>
          <w:b/>
          <w:sz w:val="22"/>
          <w:szCs w:val="22"/>
        </w:rPr>
        <w:t>,</w:t>
      </w:r>
      <w:r w:rsidR="007E1971" w:rsidRPr="003D0906">
        <w:rPr>
          <w:b/>
          <w:sz w:val="22"/>
          <w:szCs w:val="22"/>
          <w:lang w:val="en-US"/>
        </w:rPr>
        <w:t xml:space="preserve"> </w:t>
      </w:r>
      <w:r w:rsidR="00E16F5D" w:rsidRPr="003D0906">
        <w:rPr>
          <w:b/>
          <w:sz w:val="22"/>
          <w:szCs w:val="22"/>
          <w:lang w:val="en-US"/>
        </w:rPr>
        <w:t>within the above guidelines</w:t>
      </w:r>
      <w:r w:rsidR="007E1971" w:rsidRPr="00AD7D86">
        <w:rPr>
          <w:sz w:val="22"/>
          <w:szCs w:val="22"/>
          <w:lang w:val="en-US"/>
        </w:rPr>
        <w:t>.</w:t>
      </w:r>
      <w:r w:rsidR="007E1971" w:rsidRPr="00C56D85">
        <w:rPr>
          <w:sz w:val="22"/>
          <w:szCs w:val="22"/>
          <w:lang w:val="en-US"/>
        </w:rPr>
        <w:t xml:space="preserve"> </w:t>
      </w:r>
    </w:p>
    <w:p w:rsidR="00520D68" w:rsidRPr="00520D68" w:rsidRDefault="00520D68" w:rsidP="00520D68">
      <w:pPr>
        <w:pStyle w:val="Heading2"/>
        <w:tabs>
          <w:tab w:val="clear" w:pos="576"/>
        </w:tabs>
        <w:ind w:left="709" w:hanging="709"/>
        <w:rPr>
          <w:szCs w:val="22"/>
          <w:lang w:val="en-US"/>
        </w:rPr>
      </w:pPr>
      <w:proofErr w:type="spellStart"/>
      <w:r w:rsidRPr="00520D68">
        <w:rPr>
          <w:szCs w:val="22"/>
          <w:lang w:val="en-US"/>
        </w:rPr>
        <w:lastRenderedPageBreak/>
        <w:t>Subsidised</w:t>
      </w:r>
      <w:proofErr w:type="spellEnd"/>
      <w:r w:rsidRPr="00520D68">
        <w:rPr>
          <w:szCs w:val="22"/>
          <w:lang w:val="en-US"/>
        </w:rPr>
        <w:t xml:space="preserve"> Practice Visits</w:t>
      </w:r>
    </w:p>
    <w:p w:rsidR="000B40D5" w:rsidRDefault="000B40D5" w:rsidP="000B40D5">
      <w:pPr>
        <w:pStyle w:val="BodyText"/>
        <w:rPr>
          <w:sz w:val="22"/>
          <w:szCs w:val="22"/>
          <w:lang w:val="en-US"/>
        </w:rPr>
      </w:pPr>
      <w:r>
        <w:rPr>
          <w:sz w:val="22"/>
          <w:szCs w:val="22"/>
          <w:lang w:val="en-US"/>
        </w:rPr>
        <w:t xml:space="preserve">The earthquake funding package will fund all </w:t>
      </w:r>
      <w:r w:rsidR="0065040B">
        <w:rPr>
          <w:sz w:val="22"/>
          <w:szCs w:val="22"/>
          <w:lang w:val="en-US"/>
        </w:rPr>
        <w:t xml:space="preserve">eligible </w:t>
      </w:r>
      <w:r w:rsidR="00E16F5D">
        <w:rPr>
          <w:sz w:val="22"/>
          <w:szCs w:val="22"/>
          <w:lang w:val="en-US"/>
        </w:rPr>
        <w:t>C</w:t>
      </w:r>
      <w:r>
        <w:rPr>
          <w:sz w:val="22"/>
          <w:szCs w:val="22"/>
          <w:lang w:val="en-US"/>
        </w:rPr>
        <w:t xml:space="preserve">asual patients at the enrolled patient level.  That is, all </w:t>
      </w:r>
      <w:r w:rsidR="00E16F5D">
        <w:rPr>
          <w:sz w:val="22"/>
          <w:szCs w:val="22"/>
          <w:lang w:val="en-US"/>
        </w:rPr>
        <w:t>C</w:t>
      </w:r>
      <w:r>
        <w:rPr>
          <w:sz w:val="22"/>
          <w:szCs w:val="22"/>
          <w:lang w:val="en-US"/>
        </w:rPr>
        <w:t>asual patients</w:t>
      </w:r>
      <w:r w:rsidR="0065040B">
        <w:rPr>
          <w:sz w:val="22"/>
          <w:szCs w:val="22"/>
          <w:lang w:val="en-US"/>
        </w:rPr>
        <w:t>, eligible for public funded healthcare</w:t>
      </w:r>
      <w:r w:rsidR="002C2846">
        <w:rPr>
          <w:sz w:val="22"/>
          <w:szCs w:val="22"/>
          <w:lang w:val="en-US"/>
        </w:rPr>
        <w:t>,</w:t>
      </w:r>
      <w:r>
        <w:rPr>
          <w:sz w:val="22"/>
          <w:szCs w:val="22"/>
          <w:lang w:val="en-US"/>
        </w:rPr>
        <w:t xml:space="preserve"> will be charged the same patient fee as enrolled and funded patients.  This applies to both GMS and ACC consults.</w:t>
      </w:r>
    </w:p>
    <w:p w:rsidR="00520D68" w:rsidRPr="000B40D5" w:rsidRDefault="000B40D5" w:rsidP="000B40D5">
      <w:pPr>
        <w:pStyle w:val="BodyText"/>
        <w:rPr>
          <w:sz w:val="22"/>
          <w:szCs w:val="22"/>
          <w:lang w:val="en-US"/>
        </w:rPr>
      </w:pPr>
      <w:r>
        <w:rPr>
          <w:sz w:val="22"/>
          <w:szCs w:val="22"/>
          <w:lang w:val="en-US"/>
        </w:rPr>
        <w:t xml:space="preserve">GMS should continue to be claimed for eligible patients.  However, there will be no claw-back </w:t>
      </w:r>
      <w:r w:rsidR="002A3F54">
        <w:rPr>
          <w:sz w:val="22"/>
          <w:szCs w:val="22"/>
          <w:lang w:val="en-US"/>
        </w:rPr>
        <w:t>from</w:t>
      </w:r>
      <w:r>
        <w:rPr>
          <w:sz w:val="22"/>
          <w:szCs w:val="22"/>
          <w:lang w:val="en-US"/>
        </w:rPr>
        <w:t xml:space="preserve"> the </w:t>
      </w:r>
      <w:r w:rsidR="00E16F5D">
        <w:rPr>
          <w:sz w:val="22"/>
          <w:szCs w:val="22"/>
          <w:lang w:val="en-US"/>
        </w:rPr>
        <w:t>C</w:t>
      </w:r>
      <w:r w:rsidR="00B96C6F">
        <w:rPr>
          <w:sz w:val="22"/>
          <w:szCs w:val="22"/>
          <w:lang w:val="en-US"/>
        </w:rPr>
        <w:t>asual patient’s practice.</w:t>
      </w:r>
    </w:p>
    <w:p w:rsidR="00B37CB4" w:rsidRDefault="00AE7A9B" w:rsidP="00622F68">
      <w:pPr>
        <w:pStyle w:val="Bullet1"/>
        <w:numPr>
          <w:ilvl w:val="0"/>
          <w:numId w:val="0"/>
        </w:numPr>
        <w:ind w:left="709"/>
        <w:rPr>
          <w:sz w:val="22"/>
          <w:szCs w:val="22"/>
          <w:lang w:val="en-US"/>
        </w:rPr>
      </w:pPr>
      <w:r>
        <w:rPr>
          <w:sz w:val="22"/>
          <w:szCs w:val="22"/>
          <w:lang w:val="en-US"/>
        </w:rPr>
        <w:t>T</w:t>
      </w:r>
      <w:r w:rsidR="00622F68" w:rsidRPr="00C56D85">
        <w:rPr>
          <w:sz w:val="22"/>
          <w:szCs w:val="22"/>
          <w:lang w:val="en-US"/>
        </w:rPr>
        <w:t xml:space="preserve">he following diagram </w:t>
      </w:r>
      <w:proofErr w:type="spellStart"/>
      <w:r>
        <w:rPr>
          <w:sz w:val="22"/>
          <w:szCs w:val="22"/>
          <w:lang w:val="en-US"/>
        </w:rPr>
        <w:t>summarises</w:t>
      </w:r>
      <w:proofErr w:type="spellEnd"/>
      <w:r>
        <w:rPr>
          <w:sz w:val="22"/>
          <w:szCs w:val="22"/>
          <w:lang w:val="en-US"/>
        </w:rPr>
        <w:t xml:space="preserve"> </w:t>
      </w:r>
      <w:r w:rsidR="00821AE8">
        <w:rPr>
          <w:sz w:val="22"/>
          <w:szCs w:val="22"/>
          <w:lang w:val="en-US"/>
        </w:rPr>
        <w:t xml:space="preserve">the </w:t>
      </w:r>
      <w:r w:rsidR="00622F68" w:rsidRPr="00C56D85">
        <w:rPr>
          <w:sz w:val="22"/>
          <w:szCs w:val="22"/>
          <w:lang w:val="en-US"/>
        </w:rPr>
        <w:t xml:space="preserve">payment </w:t>
      </w:r>
      <w:r w:rsidR="00821AE8">
        <w:rPr>
          <w:sz w:val="22"/>
          <w:szCs w:val="22"/>
          <w:lang w:val="en-US"/>
        </w:rPr>
        <w:t>options</w:t>
      </w:r>
      <w:r w:rsidR="00B96C6F">
        <w:rPr>
          <w:sz w:val="22"/>
          <w:szCs w:val="22"/>
          <w:lang w:val="en-US"/>
        </w:rPr>
        <w:t xml:space="preserve">; a </w:t>
      </w:r>
      <w:r>
        <w:rPr>
          <w:sz w:val="22"/>
          <w:szCs w:val="22"/>
          <w:lang w:val="en-US"/>
        </w:rPr>
        <w:t xml:space="preserve">detailed </w:t>
      </w:r>
      <w:r w:rsidR="00B96C6F">
        <w:rPr>
          <w:sz w:val="22"/>
          <w:szCs w:val="22"/>
          <w:lang w:val="en-US"/>
        </w:rPr>
        <w:t>PMS guide is attached</w:t>
      </w:r>
      <w:r>
        <w:rPr>
          <w:sz w:val="22"/>
          <w:szCs w:val="22"/>
          <w:lang w:val="en-US"/>
        </w:rPr>
        <w:t xml:space="preserve"> at Appendix</w:t>
      </w:r>
      <w:r w:rsidR="00CB0920">
        <w:rPr>
          <w:sz w:val="22"/>
          <w:szCs w:val="22"/>
          <w:lang w:val="en-US"/>
        </w:rPr>
        <w:t xml:space="preserve"> </w:t>
      </w:r>
      <w:r w:rsidR="002A3F54">
        <w:rPr>
          <w:sz w:val="22"/>
          <w:szCs w:val="22"/>
          <w:lang w:val="en-US"/>
        </w:rPr>
        <w:t>1</w:t>
      </w:r>
      <w:r w:rsidR="00B37CB4">
        <w:rPr>
          <w:sz w:val="22"/>
          <w:szCs w:val="22"/>
          <w:lang w:val="en-US"/>
        </w:rPr>
        <w:t>.</w:t>
      </w:r>
    </w:p>
    <w:p w:rsidR="00622F68" w:rsidRPr="0041636A" w:rsidRDefault="00B37CB4" w:rsidP="00622F68">
      <w:pPr>
        <w:pStyle w:val="Bullet1"/>
        <w:numPr>
          <w:ilvl w:val="0"/>
          <w:numId w:val="0"/>
        </w:numPr>
        <w:ind w:left="709"/>
        <w:rPr>
          <w:sz w:val="22"/>
          <w:szCs w:val="22"/>
          <w:u w:val="single"/>
          <w:lang w:val="en-US"/>
        </w:rPr>
      </w:pPr>
      <w:bookmarkStart w:id="0" w:name="OLE_LINK1"/>
      <w:bookmarkStart w:id="1" w:name="OLE_LINK2"/>
      <w:r w:rsidRPr="0041636A">
        <w:rPr>
          <w:sz w:val="22"/>
          <w:szCs w:val="22"/>
          <w:u w:val="single"/>
          <w:lang w:val="en-US"/>
        </w:rPr>
        <w:t>GMS or First Level Service consult</w:t>
      </w:r>
      <w:bookmarkEnd w:id="0"/>
      <w:bookmarkEnd w:id="1"/>
      <w:r w:rsidRPr="0041636A">
        <w:rPr>
          <w:sz w:val="22"/>
          <w:szCs w:val="22"/>
          <w:u w:val="single"/>
          <w:lang w:val="en-US"/>
        </w:rPr>
        <w:t>:</w:t>
      </w:r>
      <w:r w:rsidR="00622F68" w:rsidRPr="0041636A">
        <w:rPr>
          <w:sz w:val="22"/>
          <w:szCs w:val="22"/>
          <w:u w:val="single"/>
          <w:lang w:val="en-US"/>
        </w:rPr>
        <w:t xml:space="preserve"> </w:t>
      </w:r>
    </w:p>
    <w:p w:rsidR="00622F68" w:rsidRPr="00C56D85" w:rsidRDefault="00622F68" w:rsidP="00622F68">
      <w:pPr>
        <w:pStyle w:val="Bullet1"/>
        <w:numPr>
          <w:ilvl w:val="0"/>
          <w:numId w:val="0"/>
        </w:numPr>
        <w:ind w:left="709"/>
        <w:rPr>
          <w:sz w:val="22"/>
          <w:szCs w:val="22"/>
          <w:lang w:val="en-US"/>
        </w:rPr>
      </w:pPr>
    </w:p>
    <w:p w:rsidR="00747938" w:rsidRPr="00C56D85" w:rsidRDefault="00152449" w:rsidP="00747938">
      <w:pPr>
        <w:pStyle w:val="Bullet1"/>
        <w:numPr>
          <w:ilvl w:val="0"/>
          <w:numId w:val="0"/>
        </w:numPr>
        <w:ind w:left="709"/>
        <w:jc w:val="center"/>
        <w:rPr>
          <w:sz w:val="22"/>
          <w:szCs w:val="22"/>
          <w:lang w:val="en-US"/>
        </w:rPr>
      </w:pPr>
      <w:r>
        <w:object w:dxaOrig="7918" w:dyaOrig="8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9.25pt" o:ole="">
            <v:imagedata r:id="rId8" o:title=""/>
          </v:shape>
          <o:OLEObject Type="Embed" ProgID="Visio.Drawing.11" ShapeID="_x0000_i1025" DrawAspect="Content" ObjectID="_1361362195" r:id="rId9"/>
        </w:object>
      </w:r>
      <w:r w:rsidR="00ED169A" w:rsidRPr="00C56D85" w:rsidDel="00ED169A">
        <w:rPr>
          <w:noProof/>
          <w:sz w:val="22"/>
          <w:szCs w:val="22"/>
          <w:lang w:eastAsia="en-NZ"/>
        </w:rPr>
        <w:t xml:space="preserve"> </w:t>
      </w:r>
    </w:p>
    <w:p w:rsidR="0041636A" w:rsidRDefault="0041636A" w:rsidP="00747938">
      <w:pPr>
        <w:pStyle w:val="Bullet1"/>
        <w:numPr>
          <w:ilvl w:val="0"/>
          <w:numId w:val="0"/>
        </w:numPr>
        <w:ind w:left="709"/>
        <w:rPr>
          <w:sz w:val="22"/>
          <w:szCs w:val="22"/>
          <w:lang w:val="en-US"/>
        </w:rPr>
      </w:pPr>
    </w:p>
    <w:p w:rsidR="00EB6E9C" w:rsidRPr="00C56D85" w:rsidRDefault="00EB6E9C" w:rsidP="00FF2BB4">
      <w:pPr>
        <w:pStyle w:val="Bullet1"/>
        <w:numPr>
          <w:ilvl w:val="0"/>
          <w:numId w:val="0"/>
        </w:numPr>
        <w:ind w:left="709" w:right="-143"/>
        <w:rPr>
          <w:sz w:val="22"/>
          <w:szCs w:val="22"/>
          <w:lang w:val="en-US"/>
        </w:rPr>
      </w:pPr>
      <w:r w:rsidRPr="00C56D85">
        <w:rPr>
          <w:sz w:val="22"/>
          <w:szCs w:val="22"/>
          <w:lang w:val="en-US"/>
        </w:rPr>
        <w:t xml:space="preserve">If a </w:t>
      </w:r>
      <w:r w:rsidR="002162A2" w:rsidRPr="00C56D85">
        <w:rPr>
          <w:sz w:val="22"/>
          <w:szCs w:val="22"/>
          <w:lang w:val="en-US"/>
        </w:rPr>
        <w:t>displaced</w:t>
      </w:r>
      <w:r w:rsidRPr="00C56D85">
        <w:rPr>
          <w:sz w:val="22"/>
          <w:szCs w:val="22"/>
          <w:lang w:val="en-US"/>
        </w:rPr>
        <w:t xml:space="preserve"> person or </w:t>
      </w:r>
      <w:r w:rsidR="00FF2BB4">
        <w:rPr>
          <w:sz w:val="22"/>
          <w:szCs w:val="22"/>
          <w:lang w:val="en-US"/>
        </w:rPr>
        <w:t>c</w:t>
      </w:r>
      <w:r w:rsidR="00152449" w:rsidRPr="00C56D85">
        <w:rPr>
          <w:sz w:val="22"/>
          <w:szCs w:val="22"/>
          <w:lang w:val="en-US"/>
        </w:rPr>
        <w:t xml:space="preserve">asual </w:t>
      </w:r>
      <w:r w:rsidRPr="00C56D85">
        <w:rPr>
          <w:sz w:val="22"/>
          <w:szCs w:val="22"/>
          <w:lang w:val="en-US"/>
        </w:rPr>
        <w:t>see</w:t>
      </w:r>
      <w:r w:rsidR="00FF2BB4">
        <w:rPr>
          <w:sz w:val="22"/>
          <w:szCs w:val="22"/>
          <w:lang w:val="en-US"/>
        </w:rPr>
        <w:t>s</w:t>
      </w:r>
      <w:r w:rsidRPr="00C56D85">
        <w:rPr>
          <w:sz w:val="22"/>
          <w:szCs w:val="22"/>
          <w:lang w:val="en-US"/>
        </w:rPr>
        <w:t xml:space="preserve"> you and is unable to pay (GP’s discretion</w:t>
      </w:r>
      <w:r w:rsidR="00152449">
        <w:rPr>
          <w:sz w:val="22"/>
          <w:szCs w:val="22"/>
          <w:lang w:val="en-US"/>
        </w:rPr>
        <w:t>, see criteria 2.1</w:t>
      </w:r>
      <w:r w:rsidR="00957AD2">
        <w:rPr>
          <w:sz w:val="22"/>
          <w:szCs w:val="22"/>
          <w:lang w:val="en-US"/>
        </w:rPr>
        <w:t>,</w:t>
      </w:r>
      <w:r w:rsidR="00957AD2" w:rsidRPr="00957AD2">
        <w:rPr>
          <w:sz w:val="22"/>
          <w:szCs w:val="22"/>
          <w:lang w:val="en-US"/>
        </w:rPr>
        <w:t xml:space="preserve"> </w:t>
      </w:r>
      <w:r w:rsidR="00957AD2">
        <w:rPr>
          <w:sz w:val="22"/>
          <w:szCs w:val="22"/>
          <w:lang w:val="en-US"/>
        </w:rPr>
        <w:t>above</w:t>
      </w:r>
      <w:r w:rsidRPr="00C56D85">
        <w:rPr>
          <w:sz w:val="22"/>
          <w:szCs w:val="22"/>
          <w:lang w:val="en-US"/>
        </w:rPr>
        <w:t xml:space="preserve">) you will </w:t>
      </w:r>
      <w:r w:rsidR="00B37CB4">
        <w:rPr>
          <w:sz w:val="22"/>
          <w:szCs w:val="22"/>
          <w:lang w:val="en-US"/>
        </w:rPr>
        <w:t>claim</w:t>
      </w:r>
      <w:r w:rsidR="00B37CB4" w:rsidRPr="00C56D85">
        <w:rPr>
          <w:sz w:val="22"/>
          <w:szCs w:val="22"/>
          <w:lang w:val="en-US"/>
        </w:rPr>
        <w:t xml:space="preserve"> </w:t>
      </w:r>
      <w:r w:rsidRPr="00C56D85">
        <w:rPr>
          <w:sz w:val="22"/>
          <w:szCs w:val="22"/>
          <w:lang w:val="en-US"/>
        </w:rPr>
        <w:t xml:space="preserve">from the DHB your normal co-payment plus a </w:t>
      </w:r>
      <w:r w:rsidR="00B37CB4">
        <w:rPr>
          <w:sz w:val="22"/>
          <w:szCs w:val="22"/>
          <w:lang w:val="en-US"/>
        </w:rPr>
        <w:t xml:space="preserve">top-up </w:t>
      </w:r>
      <w:r w:rsidRPr="00C56D85">
        <w:rPr>
          <w:sz w:val="22"/>
          <w:szCs w:val="22"/>
          <w:lang w:val="en-US"/>
        </w:rPr>
        <w:t xml:space="preserve">subsidy. </w:t>
      </w:r>
      <w:r w:rsidR="00ED169A">
        <w:rPr>
          <w:sz w:val="22"/>
          <w:szCs w:val="22"/>
          <w:lang w:val="en-US"/>
        </w:rPr>
        <w:t xml:space="preserve">With </w:t>
      </w:r>
      <w:r w:rsidRPr="00C56D85">
        <w:rPr>
          <w:sz w:val="22"/>
          <w:szCs w:val="22"/>
          <w:lang w:val="en-US"/>
        </w:rPr>
        <w:t xml:space="preserve">the </w:t>
      </w:r>
      <w:r w:rsidR="00ED169A">
        <w:rPr>
          <w:sz w:val="22"/>
          <w:szCs w:val="22"/>
          <w:lang w:val="en-US"/>
        </w:rPr>
        <w:t xml:space="preserve">above fee </w:t>
      </w:r>
      <w:r w:rsidRPr="00C56D85">
        <w:rPr>
          <w:sz w:val="22"/>
          <w:szCs w:val="22"/>
          <w:lang w:val="en-US"/>
        </w:rPr>
        <w:t xml:space="preserve">example </w:t>
      </w:r>
      <w:r w:rsidR="00ED169A">
        <w:rPr>
          <w:sz w:val="22"/>
          <w:szCs w:val="22"/>
          <w:lang w:val="en-US"/>
        </w:rPr>
        <w:t>and an adult card</w:t>
      </w:r>
      <w:r w:rsidR="0077363A">
        <w:rPr>
          <w:sz w:val="22"/>
          <w:szCs w:val="22"/>
          <w:lang w:val="en-US"/>
        </w:rPr>
        <w:t>-</w:t>
      </w:r>
      <w:r w:rsidR="00ED169A">
        <w:rPr>
          <w:sz w:val="22"/>
          <w:szCs w:val="22"/>
          <w:lang w:val="en-US"/>
        </w:rPr>
        <w:t>holder</w:t>
      </w:r>
      <w:r w:rsidR="0077363A">
        <w:rPr>
          <w:sz w:val="22"/>
          <w:szCs w:val="22"/>
          <w:lang w:val="en-US"/>
        </w:rPr>
        <w:t>,</w:t>
      </w:r>
      <w:r w:rsidR="0041636A">
        <w:rPr>
          <w:sz w:val="22"/>
          <w:szCs w:val="22"/>
          <w:lang w:val="en-US"/>
        </w:rPr>
        <w:t xml:space="preserve"> </w:t>
      </w:r>
      <w:r w:rsidRPr="00C56D85">
        <w:rPr>
          <w:sz w:val="22"/>
          <w:szCs w:val="22"/>
          <w:lang w:val="en-US"/>
        </w:rPr>
        <w:t xml:space="preserve">this would </w:t>
      </w:r>
      <w:r w:rsidR="00747938" w:rsidRPr="00C56D85">
        <w:rPr>
          <w:sz w:val="22"/>
          <w:szCs w:val="22"/>
          <w:lang w:val="en-US"/>
        </w:rPr>
        <w:t>be</w:t>
      </w:r>
      <w:r w:rsidR="00ED169A">
        <w:rPr>
          <w:sz w:val="22"/>
          <w:szCs w:val="22"/>
          <w:lang w:val="en-US"/>
        </w:rPr>
        <w:t>:</w:t>
      </w:r>
      <w:r w:rsidR="00747938" w:rsidRPr="00C56D85">
        <w:rPr>
          <w:sz w:val="22"/>
          <w:szCs w:val="22"/>
          <w:lang w:val="en-US"/>
        </w:rPr>
        <w:t xml:space="preserve"> </w:t>
      </w:r>
      <w:r w:rsidR="00ED169A">
        <w:rPr>
          <w:sz w:val="22"/>
          <w:szCs w:val="22"/>
          <w:lang w:val="en-US"/>
        </w:rPr>
        <w:t xml:space="preserve"> GMS (</w:t>
      </w:r>
      <w:r w:rsidR="00ED169A" w:rsidRPr="00C56D85">
        <w:rPr>
          <w:sz w:val="22"/>
          <w:szCs w:val="22"/>
          <w:lang w:val="en-US"/>
        </w:rPr>
        <w:t>$</w:t>
      </w:r>
      <w:r w:rsidR="00ED169A">
        <w:rPr>
          <w:sz w:val="22"/>
          <w:szCs w:val="22"/>
          <w:lang w:val="en-US"/>
        </w:rPr>
        <w:t>15.33) + top-up ($14.76) + Fee</w:t>
      </w:r>
      <w:r w:rsidR="00ED169A" w:rsidRPr="00C56D85">
        <w:rPr>
          <w:sz w:val="22"/>
          <w:szCs w:val="22"/>
          <w:lang w:val="en-US"/>
        </w:rPr>
        <w:t xml:space="preserve"> </w:t>
      </w:r>
      <w:r w:rsidR="00747938" w:rsidRPr="00C56D85">
        <w:rPr>
          <w:sz w:val="22"/>
          <w:szCs w:val="22"/>
          <w:lang w:val="en-US"/>
        </w:rPr>
        <w:t xml:space="preserve">$35 = $65. </w:t>
      </w:r>
    </w:p>
    <w:p w:rsidR="00EB6E9C" w:rsidRDefault="00EB6E9C" w:rsidP="00622F68">
      <w:pPr>
        <w:pStyle w:val="Bullet1"/>
        <w:numPr>
          <w:ilvl w:val="0"/>
          <w:numId w:val="0"/>
        </w:numPr>
        <w:ind w:left="709"/>
        <w:rPr>
          <w:sz w:val="22"/>
          <w:szCs w:val="22"/>
          <w:lang w:val="en-US"/>
        </w:rPr>
      </w:pPr>
      <w:r w:rsidRPr="00C56D85">
        <w:rPr>
          <w:sz w:val="22"/>
          <w:szCs w:val="22"/>
          <w:lang w:val="en-US"/>
        </w:rPr>
        <w:t xml:space="preserve">If the displaced person is able to pay you will </w:t>
      </w:r>
      <w:r w:rsidR="00B37CB4">
        <w:rPr>
          <w:sz w:val="22"/>
          <w:szCs w:val="22"/>
          <w:lang w:val="en-US"/>
        </w:rPr>
        <w:t>claim</w:t>
      </w:r>
      <w:r w:rsidR="00B37CB4" w:rsidRPr="00C56D85">
        <w:rPr>
          <w:sz w:val="22"/>
          <w:szCs w:val="22"/>
          <w:lang w:val="en-US"/>
        </w:rPr>
        <w:t xml:space="preserve"> </w:t>
      </w:r>
      <w:r w:rsidRPr="00C56D85">
        <w:rPr>
          <w:sz w:val="22"/>
          <w:szCs w:val="22"/>
          <w:lang w:val="en-US"/>
        </w:rPr>
        <w:t xml:space="preserve">the co-payment directly from the patient ($35) plus receive the </w:t>
      </w:r>
      <w:r w:rsidR="0077363A">
        <w:rPr>
          <w:sz w:val="22"/>
          <w:szCs w:val="22"/>
          <w:lang w:val="en-US"/>
        </w:rPr>
        <w:t xml:space="preserve">GMS and top-up </w:t>
      </w:r>
      <w:r w:rsidRPr="00C56D85">
        <w:rPr>
          <w:sz w:val="22"/>
          <w:szCs w:val="22"/>
          <w:lang w:val="en-US"/>
        </w:rPr>
        <w:t>subsid</w:t>
      </w:r>
      <w:r w:rsidR="00EE25BE">
        <w:rPr>
          <w:sz w:val="22"/>
          <w:szCs w:val="22"/>
          <w:lang w:val="en-US"/>
        </w:rPr>
        <w:t>ies</w:t>
      </w:r>
      <w:r w:rsidRPr="00C56D85">
        <w:rPr>
          <w:sz w:val="22"/>
          <w:szCs w:val="22"/>
          <w:lang w:val="en-US"/>
        </w:rPr>
        <w:t xml:space="preserve"> of $30</w:t>
      </w:r>
      <w:r w:rsidR="00FF2BB4">
        <w:rPr>
          <w:sz w:val="22"/>
          <w:szCs w:val="22"/>
          <w:lang w:val="en-US"/>
        </w:rPr>
        <w:t>;</w:t>
      </w:r>
      <w:r w:rsidRPr="00C56D85">
        <w:rPr>
          <w:sz w:val="22"/>
          <w:szCs w:val="22"/>
          <w:lang w:val="en-US"/>
        </w:rPr>
        <w:t xml:space="preserve"> therefore </w:t>
      </w:r>
      <w:r w:rsidR="00FF2BB4">
        <w:rPr>
          <w:sz w:val="22"/>
          <w:szCs w:val="22"/>
          <w:lang w:val="en-US"/>
        </w:rPr>
        <w:t xml:space="preserve">totaling </w:t>
      </w:r>
      <w:r w:rsidRPr="00C56D85">
        <w:rPr>
          <w:sz w:val="22"/>
          <w:szCs w:val="22"/>
          <w:lang w:val="en-US"/>
        </w:rPr>
        <w:t>$65.</w:t>
      </w:r>
    </w:p>
    <w:p w:rsidR="00ED169A" w:rsidRDefault="00ED169A" w:rsidP="00622F68">
      <w:pPr>
        <w:pStyle w:val="Bullet1"/>
        <w:numPr>
          <w:ilvl w:val="0"/>
          <w:numId w:val="0"/>
        </w:numPr>
        <w:ind w:left="709"/>
        <w:rPr>
          <w:sz w:val="22"/>
          <w:szCs w:val="22"/>
          <w:lang w:val="en-US"/>
        </w:rPr>
      </w:pPr>
    </w:p>
    <w:p w:rsidR="00ED169A" w:rsidRDefault="00ED169A" w:rsidP="00622F68">
      <w:pPr>
        <w:pStyle w:val="Bullet1"/>
        <w:numPr>
          <w:ilvl w:val="0"/>
          <w:numId w:val="0"/>
        </w:numPr>
        <w:ind w:left="709"/>
        <w:rPr>
          <w:sz w:val="22"/>
          <w:szCs w:val="22"/>
          <w:lang w:val="en-US"/>
        </w:rPr>
      </w:pPr>
      <w:r w:rsidRPr="00DC559B">
        <w:rPr>
          <w:sz w:val="22"/>
          <w:szCs w:val="22"/>
          <w:u w:val="single"/>
          <w:lang w:val="en-US"/>
        </w:rPr>
        <w:t>ACC consult:</w:t>
      </w:r>
      <w:r>
        <w:rPr>
          <w:sz w:val="22"/>
          <w:szCs w:val="22"/>
          <w:lang w:val="en-US"/>
        </w:rPr>
        <w:t xml:space="preserve"> </w:t>
      </w:r>
      <w:r w:rsidR="00FA0653">
        <w:rPr>
          <w:sz w:val="22"/>
          <w:szCs w:val="22"/>
          <w:lang w:val="en-US"/>
        </w:rPr>
        <w:t xml:space="preserve"> The ACC subsidy is claimed in the normal manner.  Applying </w:t>
      </w:r>
      <w:r w:rsidR="00957AD2" w:rsidRPr="00C56D85">
        <w:rPr>
          <w:sz w:val="22"/>
          <w:szCs w:val="22"/>
          <w:lang w:val="en-US"/>
        </w:rPr>
        <w:t>GP discretion</w:t>
      </w:r>
      <w:r w:rsidR="00957AD2">
        <w:rPr>
          <w:sz w:val="22"/>
          <w:szCs w:val="22"/>
          <w:lang w:val="en-US"/>
        </w:rPr>
        <w:t xml:space="preserve"> (see criteria 2.1,</w:t>
      </w:r>
      <w:r w:rsidR="00957AD2" w:rsidRPr="00957AD2">
        <w:rPr>
          <w:sz w:val="22"/>
          <w:szCs w:val="22"/>
          <w:lang w:val="en-US"/>
        </w:rPr>
        <w:t xml:space="preserve"> </w:t>
      </w:r>
      <w:r w:rsidR="00957AD2">
        <w:rPr>
          <w:sz w:val="22"/>
          <w:szCs w:val="22"/>
          <w:lang w:val="en-US"/>
        </w:rPr>
        <w:t>above),</w:t>
      </w:r>
      <w:r w:rsidR="00FA0653">
        <w:rPr>
          <w:sz w:val="22"/>
          <w:szCs w:val="22"/>
          <w:lang w:val="en-US"/>
        </w:rPr>
        <w:t xml:space="preserve"> if </w:t>
      </w:r>
      <w:r w:rsidR="00EE25BE">
        <w:rPr>
          <w:sz w:val="22"/>
          <w:szCs w:val="22"/>
          <w:lang w:val="en-US"/>
        </w:rPr>
        <w:t>the</w:t>
      </w:r>
      <w:r w:rsidR="00FA0653">
        <w:rPr>
          <w:sz w:val="22"/>
          <w:szCs w:val="22"/>
          <w:lang w:val="en-US"/>
        </w:rPr>
        <w:t xml:space="preserve"> patient cannot afford to pay the </w:t>
      </w:r>
      <w:r w:rsidR="00EE25BE">
        <w:rPr>
          <w:sz w:val="22"/>
          <w:szCs w:val="22"/>
          <w:lang w:val="en-US"/>
        </w:rPr>
        <w:t xml:space="preserve">normal </w:t>
      </w:r>
      <w:r w:rsidR="00FA0653">
        <w:rPr>
          <w:sz w:val="22"/>
          <w:szCs w:val="22"/>
          <w:lang w:val="en-US"/>
        </w:rPr>
        <w:t>ACC co-payment</w:t>
      </w:r>
      <w:r w:rsidR="00EE25BE">
        <w:rPr>
          <w:sz w:val="22"/>
          <w:szCs w:val="22"/>
          <w:lang w:val="en-US"/>
        </w:rPr>
        <w:t>, the DHB will pay this amount.  See Appendix</w:t>
      </w:r>
      <w:r w:rsidR="00957AD2">
        <w:rPr>
          <w:sz w:val="22"/>
          <w:szCs w:val="22"/>
          <w:lang w:val="en-US"/>
        </w:rPr>
        <w:t xml:space="preserve"> </w:t>
      </w:r>
      <w:r w:rsidR="002A3F54">
        <w:rPr>
          <w:sz w:val="22"/>
          <w:szCs w:val="22"/>
          <w:lang w:val="en-US"/>
        </w:rPr>
        <w:t>1</w:t>
      </w:r>
      <w:r w:rsidR="00EE25BE">
        <w:rPr>
          <w:sz w:val="22"/>
          <w:szCs w:val="22"/>
          <w:lang w:val="en-US"/>
        </w:rPr>
        <w:t xml:space="preserve"> for PMS claim </w:t>
      </w:r>
      <w:r w:rsidR="00696EA0">
        <w:rPr>
          <w:sz w:val="22"/>
          <w:szCs w:val="22"/>
          <w:lang w:val="en-US"/>
        </w:rPr>
        <w:t>instruction</w:t>
      </w:r>
      <w:r w:rsidR="00EE25BE">
        <w:rPr>
          <w:sz w:val="22"/>
          <w:szCs w:val="22"/>
          <w:lang w:val="en-US"/>
        </w:rPr>
        <w:t>.</w:t>
      </w:r>
    </w:p>
    <w:p w:rsidR="00DC559B" w:rsidRPr="00C56D85" w:rsidRDefault="00DC559B" w:rsidP="00622F68">
      <w:pPr>
        <w:pStyle w:val="Bullet1"/>
        <w:numPr>
          <w:ilvl w:val="0"/>
          <w:numId w:val="0"/>
        </w:numPr>
        <w:ind w:left="709"/>
        <w:rPr>
          <w:sz w:val="22"/>
          <w:szCs w:val="22"/>
          <w:lang w:val="en-US"/>
        </w:rPr>
      </w:pPr>
      <w:r w:rsidRPr="0041636A">
        <w:rPr>
          <w:sz w:val="22"/>
          <w:szCs w:val="22"/>
          <w:u w:val="single"/>
          <w:lang w:val="en-US"/>
        </w:rPr>
        <w:lastRenderedPageBreak/>
        <w:t>Radiology part charges</w:t>
      </w:r>
      <w:r w:rsidR="0041636A">
        <w:rPr>
          <w:sz w:val="22"/>
          <w:szCs w:val="22"/>
          <w:lang w:val="en-US"/>
        </w:rPr>
        <w:t>,</w:t>
      </w:r>
      <w:r>
        <w:rPr>
          <w:sz w:val="22"/>
          <w:szCs w:val="22"/>
          <w:lang w:val="en-US"/>
        </w:rPr>
        <w:t xml:space="preserve"> which have been funded to </w:t>
      </w:r>
      <w:r w:rsidR="00152449">
        <w:rPr>
          <w:sz w:val="22"/>
          <w:szCs w:val="22"/>
          <w:lang w:val="en-US"/>
        </w:rPr>
        <w:t>date,</w:t>
      </w:r>
      <w:r>
        <w:rPr>
          <w:sz w:val="22"/>
          <w:szCs w:val="22"/>
          <w:lang w:val="en-US"/>
        </w:rPr>
        <w:t xml:space="preserve"> will continue for those in need, </w:t>
      </w:r>
      <w:r w:rsidR="002B7699">
        <w:rPr>
          <w:sz w:val="22"/>
          <w:szCs w:val="22"/>
          <w:lang w:val="en-US"/>
        </w:rPr>
        <w:t>applying GP</w:t>
      </w:r>
      <w:r>
        <w:rPr>
          <w:sz w:val="22"/>
          <w:szCs w:val="22"/>
          <w:lang w:val="en-US"/>
        </w:rPr>
        <w:t xml:space="preserve"> discretion</w:t>
      </w:r>
      <w:r w:rsidR="00152449">
        <w:rPr>
          <w:sz w:val="22"/>
          <w:szCs w:val="22"/>
          <w:lang w:val="en-US"/>
        </w:rPr>
        <w:t>, as above</w:t>
      </w:r>
      <w:r>
        <w:rPr>
          <w:sz w:val="22"/>
          <w:szCs w:val="22"/>
          <w:lang w:val="en-US"/>
        </w:rPr>
        <w:t>.</w:t>
      </w:r>
    </w:p>
    <w:p w:rsidR="00092A77" w:rsidRPr="00C56D85" w:rsidRDefault="00622F68" w:rsidP="002162A2">
      <w:pPr>
        <w:pStyle w:val="Heading1"/>
        <w:rPr>
          <w:szCs w:val="22"/>
        </w:rPr>
      </w:pPr>
      <w:r w:rsidRPr="00C56D85">
        <w:rPr>
          <w:szCs w:val="22"/>
        </w:rPr>
        <w:t>Acute demand service (ADMS)</w:t>
      </w:r>
      <w:r w:rsidR="00092A77" w:rsidRPr="00C56D85">
        <w:rPr>
          <w:szCs w:val="22"/>
        </w:rPr>
        <w:t xml:space="preserve"> </w:t>
      </w:r>
    </w:p>
    <w:p w:rsidR="00735323" w:rsidRDefault="00735323" w:rsidP="00622F68">
      <w:pPr>
        <w:pStyle w:val="BodyText"/>
        <w:rPr>
          <w:sz w:val="22"/>
          <w:szCs w:val="22"/>
          <w:lang w:val="en-US"/>
        </w:rPr>
      </w:pPr>
      <w:r>
        <w:rPr>
          <w:sz w:val="22"/>
          <w:szCs w:val="22"/>
          <w:lang w:val="en-US"/>
        </w:rPr>
        <w:t>There are two new initiatives under Acute Demand</w:t>
      </w:r>
      <w:r w:rsidR="00152449">
        <w:rPr>
          <w:sz w:val="22"/>
          <w:szCs w:val="22"/>
          <w:lang w:val="en-US"/>
        </w:rPr>
        <w:t xml:space="preserve"> (</w:t>
      </w:r>
      <w:r w:rsidR="00152449" w:rsidRPr="00957AD2">
        <w:rPr>
          <w:b/>
          <w:sz w:val="22"/>
          <w:szCs w:val="22"/>
          <w:lang w:val="en-US"/>
        </w:rPr>
        <w:t xml:space="preserve">Please read </w:t>
      </w:r>
      <w:r w:rsidR="00957AD2" w:rsidRPr="00957AD2">
        <w:rPr>
          <w:b/>
          <w:sz w:val="22"/>
          <w:szCs w:val="22"/>
          <w:lang w:val="en-US"/>
        </w:rPr>
        <w:t xml:space="preserve">example </w:t>
      </w:r>
      <w:r w:rsidR="00152449" w:rsidRPr="00957AD2">
        <w:rPr>
          <w:b/>
          <w:sz w:val="22"/>
          <w:szCs w:val="22"/>
          <w:lang w:val="en-US"/>
        </w:rPr>
        <w:t>scenario</w:t>
      </w:r>
      <w:r w:rsidR="00957AD2" w:rsidRPr="00957AD2">
        <w:rPr>
          <w:b/>
          <w:sz w:val="22"/>
          <w:szCs w:val="22"/>
          <w:lang w:val="en-US"/>
        </w:rPr>
        <w:t>s</w:t>
      </w:r>
      <w:r w:rsidR="00152449" w:rsidRPr="00957AD2">
        <w:rPr>
          <w:b/>
          <w:sz w:val="22"/>
          <w:szCs w:val="22"/>
          <w:lang w:val="en-US"/>
        </w:rPr>
        <w:t xml:space="preserve">, Appendix </w:t>
      </w:r>
      <w:r w:rsidR="002A3F54">
        <w:rPr>
          <w:b/>
          <w:sz w:val="22"/>
          <w:szCs w:val="22"/>
          <w:lang w:val="en-US"/>
        </w:rPr>
        <w:t>2</w:t>
      </w:r>
      <w:r w:rsidR="00152449">
        <w:rPr>
          <w:sz w:val="22"/>
          <w:szCs w:val="22"/>
          <w:lang w:val="en-US"/>
        </w:rPr>
        <w:t>)</w:t>
      </w:r>
      <w:r>
        <w:rPr>
          <w:sz w:val="22"/>
          <w:szCs w:val="22"/>
          <w:lang w:val="en-US"/>
        </w:rPr>
        <w:t xml:space="preserve">: </w:t>
      </w:r>
    </w:p>
    <w:p w:rsidR="00092A77" w:rsidRPr="00C56D85" w:rsidRDefault="00735323" w:rsidP="00735323">
      <w:pPr>
        <w:pStyle w:val="BodyText"/>
        <w:numPr>
          <w:ilvl w:val="0"/>
          <w:numId w:val="16"/>
        </w:numPr>
        <w:rPr>
          <w:i/>
          <w:sz w:val="22"/>
          <w:szCs w:val="22"/>
          <w:lang w:val="en-US"/>
        </w:rPr>
      </w:pPr>
      <w:r>
        <w:rPr>
          <w:sz w:val="22"/>
          <w:szCs w:val="22"/>
          <w:lang w:val="en-US"/>
        </w:rPr>
        <w:t>T</w:t>
      </w:r>
      <w:r w:rsidR="00092A77" w:rsidRPr="00C56D85">
        <w:rPr>
          <w:sz w:val="22"/>
          <w:szCs w:val="22"/>
          <w:lang w:val="en-US"/>
        </w:rPr>
        <w:t>he DHB would like GPs to widen the use of the ADMS to focus not only on those wh</w:t>
      </w:r>
      <w:r w:rsidR="00DC559B">
        <w:rPr>
          <w:sz w:val="22"/>
          <w:szCs w:val="22"/>
          <w:lang w:val="en-US"/>
        </w:rPr>
        <w:t>ere</w:t>
      </w:r>
      <w:r w:rsidR="00092A77" w:rsidRPr="00C56D85">
        <w:rPr>
          <w:sz w:val="22"/>
          <w:szCs w:val="22"/>
          <w:lang w:val="en-US"/>
        </w:rPr>
        <w:t xml:space="preserve"> you are preventing an admission to hospital, but to include those at risk of deteriorating to a point where they may require admission to Christchurch Hospital or ED if they do not attend primary care e.g. </w:t>
      </w:r>
      <w:r w:rsidR="00622F68" w:rsidRPr="00C56D85">
        <w:rPr>
          <w:sz w:val="22"/>
          <w:szCs w:val="22"/>
          <w:lang w:val="en-US"/>
        </w:rPr>
        <w:t xml:space="preserve">78 year old with heart failure and COPD attends with swollen ankles and mild breathlessness. She has not been severely affected by the quake. ADMS can </w:t>
      </w:r>
      <w:r w:rsidR="000328AB">
        <w:rPr>
          <w:sz w:val="22"/>
          <w:szCs w:val="22"/>
          <w:lang w:val="en-US"/>
        </w:rPr>
        <w:t xml:space="preserve">now </w:t>
      </w:r>
      <w:r w:rsidR="00622F68" w:rsidRPr="00C56D85">
        <w:rPr>
          <w:sz w:val="22"/>
          <w:szCs w:val="22"/>
          <w:lang w:val="en-US"/>
        </w:rPr>
        <w:t xml:space="preserve">cover the initial attendance </w:t>
      </w:r>
      <w:r w:rsidR="000328AB">
        <w:rPr>
          <w:sz w:val="22"/>
          <w:szCs w:val="22"/>
          <w:lang w:val="en-US"/>
        </w:rPr>
        <w:t xml:space="preserve">at GP discretion, </w:t>
      </w:r>
      <w:r w:rsidR="00622F68" w:rsidRPr="00C56D85">
        <w:rPr>
          <w:sz w:val="22"/>
          <w:szCs w:val="22"/>
          <w:lang w:val="en-US"/>
        </w:rPr>
        <w:t xml:space="preserve">and follow up, including </w:t>
      </w:r>
      <w:r w:rsidR="002162A2" w:rsidRPr="00C56D85">
        <w:rPr>
          <w:sz w:val="22"/>
          <w:szCs w:val="22"/>
          <w:lang w:val="en-US"/>
        </w:rPr>
        <w:t>phone calls</w:t>
      </w:r>
      <w:r w:rsidR="00622F68" w:rsidRPr="00C56D85">
        <w:rPr>
          <w:sz w:val="22"/>
          <w:szCs w:val="22"/>
          <w:lang w:val="en-US"/>
        </w:rPr>
        <w:t xml:space="preserve"> to check progress. </w:t>
      </w:r>
      <w:r w:rsidR="00622F68" w:rsidRPr="00C56D85">
        <w:rPr>
          <w:i/>
          <w:sz w:val="22"/>
          <w:szCs w:val="22"/>
          <w:lang w:val="en-US"/>
        </w:rPr>
        <w:t xml:space="preserve">Logic: There is an acute illness, and she is at risk of hospital attendance. </w:t>
      </w:r>
    </w:p>
    <w:p w:rsidR="00696EA0" w:rsidRDefault="008B7CFA" w:rsidP="00152449">
      <w:pPr>
        <w:pStyle w:val="BodyText"/>
        <w:numPr>
          <w:ilvl w:val="0"/>
          <w:numId w:val="16"/>
        </w:numPr>
        <w:rPr>
          <w:sz w:val="22"/>
          <w:szCs w:val="22"/>
        </w:rPr>
      </w:pPr>
      <w:r w:rsidRPr="00152449">
        <w:rPr>
          <w:sz w:val="22"/>
          <w:szCs w:val="22"/>
        </w:rPr>
        <w:t xml:space="preserve">Practices can proactively manage their population who are at increased risk of hospital attendance or acute illness, and can charge this to ADMS. For example, contacting frail elderly or those with multiple chronic conditions once weekly. </w:t>
      </w:r>
      <w:r w:rsidR="00B27249">
        <w:rPr>
          <w:sz w:val="22"/>
          <w:szCs w:val="22"/>
        </w:rPr>
        <w:t xml:space="preserve"> </w:t>
      </w:r>
      <w:r w:rsidRPr="00152449">
        <w:rPr>
          <w:sz w:val="22"/>
          <w:szCs w:val="22"/>
        </w:rPr>
        <w:t xml:space="preserve">Practices can </w:t>
      </w:r>
      <w:r w:rsidR="000328AB">
        <w:rPr>
          <w:sz w:val="22"/>
          <w:szCs w:val="22"/>
        </w:rPr>
        <w:t xml:space="preserve">now </w:t>
      </w:r>
      <w:r w:rsidRPr="00152449">
        <w:rPr>
          <w:sz w:val="22"/>
          <w:szCs w:val="22"/>
        </w:rPr>
        <w:t xml:space="preserve">claim up to five hours per week per 1,000 </w:t>
      </w:r>
      <w:r w:rsidR="002162A2" w:rsidRPr="00152449">
        <w:rPr>
          <w:sz w:val="22"/>
          <w:szCs w:val="22"/>
        </w:rPr>
        <w:t>enrolled</w:t>
      </w:r>
      <w:r w:rsidRPr="00152449">
        <w:rPr>
          <w:sz w:val="22"/>
          <w:szCs w:val="22"/>
        </w:rPr>
        <w:t xml:space="preserve"> patients at 1.5 times their usual rates </w:t>
      </w:r>
      <w:r w:rsidR="00DC559B" w:rsidRPr="00152449">
        <w:rPr>
          <w:sz w:val="22"/>
          <w:szCs w:val="22"/>
        </w:rPr>
        <w:t xml:space="preserve">of pay </w:t>
      </w:r>
      <w:r w:rsidRPr="00152449">
        <w:rPr>
          <w:sz w:val="22"/>
          <w:szCs w:val="22"/>
        </w:rPr>
        <w:t xml:space="preserve">for administrative, pharmacy, allied health or nursing staff. </w:t>
      </w:r>
      <w:r w:rsidR="00B27249">
        <w:rPr>
          <w:sz w:val="22"/>
          <w:szCs w:val="22"/>
        </w:rPr>
        <w:t xml:space="preserve"> </w:t>
      </w:r>
      <w:r w:rsidRPr="00152449">
        <w:rPr>
          <w:sz w:val="22"/>
          <w:szCs w:val="22"/>
        </w:rPr>
        <w:t xml:space="preserve">This </w:t>
      </w:r>
      <w:r w:rsidR="002162A2" w:rsidRPr="00152449">
        <w:rPr>
          <w:sz w:val="22"/>
          <w:szCs w:val="22"/>
        </w:rPr>
        <w:t>funding</w:t>
      </w:r>
      <w:r w:rsidRPr="00152449">
        <w:rPr>
          <w:sz w:val="22"/>
          <w:szCs w:val="22"/>
        </w:rPr>
        <w:t xml:space="preserve"> is </w:t>
      </w:r>
      <w:r w:rsidR="00DC559B" w:rsidRPr="00152449">
        <w:rPr>
          <w:sz w:val="22"/>
          <w:szCs w:val="22"/>
        </w:rPr>
        <w:t xml:space="preserve">not </w:t>
      </w:r>
      <w:r w:rsidRPr="00152449">
        <w:rPr>
          <w:sz w:val="22"/>
          <w:szCs w:val="22"/>
        </w:rPr>
        <w:t xml:space="preserve">to cover </w:t>
      </w:r>
      <w:r w:rsidR="00B27249">
        <w:rPr>
          <w:sz w:val="22"/>
          <w:szCs w:val="22"/>
        </w:rPr>
        <w:t>doctors</w:t>
      </w:r>
      <w:r w:rsidRPr="00152449">
        <w:rPr>
          <w:sz w:val="22"/>
          <w:szCs w:val="22"/>
        </w:rPr>
        <w:t>.</w:t>
      </w:r>
    </w:p>
    <w:p w:rsidR="00B26D58" w:rsidRPr="00152449" w:rsidRDefault="00696EA0" w:rsidP="00696EA0">
      <w:pPr>
        <w:pStyle w:val="BodyText"/>
        <w:ind w:left="720"/>
        <w:rPr>
          <w:sz w:val="22"/>
          <w:szCs w:val="22"/>
        </w:rPr>
      </w:pPr>
      <w:r w:rsidRPr="00852EA8">
        <w:rPr>
          <w:sz w:val="22"/>
          <w:szCs w:val="22"/>
          <w:lang w:val="en-US"/>
        </w:rPr>
        <w:t xml:space="preserve">ADMS </w:t>
      </w:r>
      <w:proofErr w:type="spellStart"/>
      <w:r w:rsidRPr="00852EA8">
        <w:rPr>
          <w:sz w:val="22"/>
          <w:szCs w:val="22"/>
          <w:lang w:val="en-US"/>
        </w:rPr>
        <w:t>utilisation</w:t>
      </w:r>
      <w:proofErr w:type="spellEnd"/>
      <w:r w:rsidRPr="00852EA8">
        <w:rPr>
          <w:sz w:val="22"/>
          <w:szCs w:val="22"/>
          <w:lang w:val="en-US"/>
        </w:rPr>
        <w:t xml:space="preserve"> across the practices will be reviewed for future planning.</w:t>
      </w:r>
    </w:p>
    <w:p w:rsidR="00B26D58" w:rsidRPr="00C56D85" w:rsidRDefault="00B26D58" w:rsidP="00B26D58">
      <w:pPr>
        <w:pStyle w:val="Heading1"/>
        <w:rPr>
          <w:szCs w:val="22"/>
        </w:rPr>
      </w:pPr>
      <w:r w:rsidRPr="00C56D85">
        <w:rPr>
          <w:szCs w:val="22"/>
        </w:rPr>
        <w:t>Payments</w:t>
      </w:r>
    </w:p>
    <w:p w:rsidR="00B96C6F" w:rsidRDefault="00B96C6F" w:rsidP="00092A77">
      <w:pPr>
        <w:pStyle w:val="BodyText"/>
        <w:rPr>
          <w:sz w:val="22"/>
          <w:szCs w:val="22"/>
        </w:rPr>
      </w:pPr>
      <w:r>
        <w:rPr>
          <w:sz w:val="22"/>
          <w:szCs w:val="22"/>
        </w:rPr>
        <w:t xml:space="preserve">Please record all earthquake </w:t>
      </w:r>
      <w:r w:rsidR="00957AD2">
        <w:rPr>
          <w:sz w:val="22"/>
          <w:szCs w:val="22"/>
        </w:rPr>
        <w:t xml:space="preserve">funded </w:t>
      </w:r>
      <w:r>
        <w:rPr>
          <w:sz w:val="22"/>
          <w:szCs w:val="22"/>
        </w:rPr>
        <w:t>visits in your PMS in the manner described at Appendix</w:t>
      </w:r>
      <w:r w:rsidR="00957AD2">
        <w:rPr>
          <w:sz w:val="22"/>
          <w:szCs w:val="22"/>
        </w:rPr>
        <w:t xml:space="preserve"> </w:t>
      </w:r>
      <w:r w:rsidR="002A3F54">
        <w:rPr>
          <w:sz w:val="22"/>
          <w:szCs w:val="22"/>
        </w:rPr>
        <w:t>1</w:t>
      </w:r>
      <w:r>
        <w:rPr>
          <w:sz w:val="22"/>
          <w:szCs w:val="22"/>
        </w:rPr>
        <w:t xml:space="preserve">. </w:t>
      </w:r>
    </w:p>
    <w:p w:rsidR="003E10A5" w:rsidRDefault="00B26D58" w:rsidP="00092A77">
      <w:pPr>
        <w:pStyle w:val="BodyText"/>
        <w:rPr>
          <w:sz w:val="22"/>
          <w:szCs w:val="22"/>
        </w:rPr>
      </w:pPr>
      <w:r w:rsidRPr="00C56D85">
        <w:rPr>
          <w:sz w:val="22"/>
          <w:szCs w:val="22"/>
        </w:rPr>
        <w:t xml:space="preserve">Payments will be managed by Pegasus Health. </w:t>
      </w:r>
      <w:r w:rsidR="003E10A5">
        <w:rPr>
          <w:sz w:val="22"/>
          <w:szCs w:val="22"/>
        </w:rPr>
        <w:t xml:space="preserve">Work is underway on an electronic PMS extract to submit all quake related claims.  We will </w:t>
      </w:r>
      <w:r w:rsidR="001C10F6">
        <w:rPr>
          <w:sz w:val="22"/>
          <w:szCs w:val="22"/>
        </w:rPr>
        <w:t xml:space="preserve">soon be able to </w:t>
      </w:r>
      <w:r w:rsidR="003E10A5">
        <w:rPr>
          <w:sz w:val="22"/>
          <w:szCs w:val="22"/>
        </w:rPr>
        <w:t xml:space="preserve">advise when, where, and </w:t>
      </w:r>
      <w:r w:rsidR="00735323">
        <w:rPr>
          <w:sz w:val="22"/>
          <w:szCs w:val="22"/>
        </w:rPr>
        <w:t xml:space="preserve">who </w:t>
      </w:r>
      <w:r w:rsidR="003E10A5">
        <w:rPr>
          <w:sz w:val="22"/>
          <w:szCs w:val="22"/>
        </w:rPr>
        <w:t xml:space="preserve">to submit </w:t>
      </w:r>
      <w:r w:rsidR="00253231">
        <w:rPr>
          <w:sz w:val="22"/>
          <w:szCs w:val="22"/>
        </w:rPr>
        <w:t>this extract.</w:t>
      </w:r>
    </w:p>
    <w:p w:rsidR="0041636A" w:rsidRDefault="00B26D58" w:rsidP="00092A77">
      <w:pPr>
        <w:pStyle w:val="BodyText"/>
        <w:rPr>
          <w:sz w:val="22"/>
          <w:szCs w:val="22"/>
        </w:rPr>
      </w:pPr>
      <w:r w:rsidRPr="00C56D85">
        <w:rPr>
          <w:sz w:val="22"/>
          <w:szCs w:val="22"/>
        </w:rPr>
        <w:t>If there are queries</w:t>
      </w:r>
      <w:r w:rsidR="0041636A">
        <w:rPr>
          <w:sz w:val="22"/>
          <w:szCs w:val="22"/>
        </w:rPr>
        <w:t xml:space="preserve"> </w:t>
      </w:r>
      <w:r w:rsidRPr="00C56D85">
        <w:rPr>
          <w:sz w:val="22"/>
          <w:szCs w:val="22"/>
        </w:rPr>
        <w:t xml:space="preserve">regarding this </w:t>
      </w:r>
      <w:r w:rsidR="0041636A">
        <w:rPr>
          <w:sz w:val="22"/>
          <w:szCs w:val="22"/>
        </w:rPr>
        <w:t xml:space="preserve">notice </w:t>
      </w:r>
      <w:r w:rsidRPr="00C56D85">
        <w:rPr>
          <w:sz w:val="22"/>
          <w:szCs w:val="22"/>
        </w:rPr>
        <w:t xml:space="preserve">please </w:t>
      </w:r>
      <w:r w:rsidR="0041636A">
        <w:rPr>
          <w:sz w:val="22"/>
          <w:szCs w:val="22"/>
        </w:rPr>
        <w:t xml:space="preserve">use the following </w:t>
      </w:r>
      <w:r w:rsidRPr="00C56D85">
        <w:rPr>
          <w:sz w:val="22"/>
          <w:szCs w:val="22"/>
        </w:rPr>
        <w:t>contact</w:t>
      </w:r>
      <w:r w:rsidR="0041636A">
        <w:rPr>
          <w:sz w:val="22"/>
          <w:szCs w:val="22"/>
        </w:rPr>
        <w:t>s:</w:t>
      </w:r>
    </w:p>
    <w:p w:rsidR="0041636A" w:rsidRDefault="0041636A" w:rsidP="0041636A">
      <w:pPr>
        <w:pStyle w:val="BodyText"/>
        <w:numPr>
          <w:ilvl w:val="0"/>
          <w:numId w:val="17"/>
        </w:numPr>
        <w:spacing w:before="0" w:after="0"/>
        <w:ind w:hanging="357"/>
        <w:rPr>
          <w:sz w:val="22"/>
          <w:szCs w:val="22"/>
        </w:rPr>
      </w:pPr>
      <w:r>
        <w:rPr>
          <w:sz w:val="22"/>
          <w:szCs w:val="22"/>
        </w:rPr>
        <w:t xml:space="preserve">PMS queries, </w:t>
      </w:r>
      <w:r w:rsidR="00B26D58" w:rsidRPr="00C56D85">
        <w:rPr>
          <w:sz w:val="22"/>
          <w:szCs w:val="22"/>
        </w:rPr>
        <w:t xml:space="preserve">Pegasus Health helpdesk on 353 </w:t>
      </w:r>
      <w:r w:rsidR="005237E7">
        <w:rPr>
          <w:sz w:val="22"/>
          <w:szCs w:val="22"/>
        </w:rPr>
        <w:t>9990</w:t>
      </w:r>
    </w:p>
    <w:p w:rsidR="00470326" w:rsidRDefault="0041636A" w:rsidP="0041636A">
      <w:pPr>
        <w:pStyle w:val="BodyText"/>
        <w:numPr>
          <w:ilvl w:val="0"/>
          <w:numId w:val="17"/>
        </w:numPr>
        <w:spacing w:before="0" w:after="0"/>
        <w:ind w:hanging="357"/>
        <w:rPr>
          <w:sz w:val="22"/>
          <w:szCs w:val="22"/>
        </w:rPr>
      </w:pPr>
      <w:r>
        <w:rPr>
          <w:sz w:val="22"/>
          <w:szCs w:val="22"/>
        </w:rPr>
        <w:t xml:space="preserve">Quake funding subsidy </w:t>
      </w:r>
      <w:r w:rsidR="00AE2B2B">
        <w:rPr>
          <w:sz w:val="22"/>
          <w:szCs w:val="22"/>
        </w:rPr>
        <w:t xml:space="preserve">and ADMS </w:t>
      </w:r>
      <w:r>
        <w:rPr>
          <w:sz w:val="22"/>
          <w:szCs w:val="22"/>
        </w:rPr>
        <w:t>queries, Allan Masters (353 9981)</w:t>
      </w:r>
      <w:r w:rsidR="00470326">
        <w:rPr>
          <w:sz w:val="22"/>
          <w:szCs w:val="22"/>
        </w:rPr>
        <w:t>,</w:t>
      </w:r>
      <w:r>
        <w:rPr>
          <w:sz w:val="22"/>
          <w:szCs w:val="22"/>
        </w:rPr>
        <w:t xml:space="preserve"> Sue Zorn (353 9916)</w:t>
      </w:r>
      <w:r w:rsidR="00470326">
        <w:rPr>
          <w:sz w:val="22"/>
          <w:szCs w:val="22"/>
        </w:rPr>
        <w:t>, or Anne Dixon (353 9917)</w:t>
      </w:r>
    </w:p>
    <w:p w:rsidR="00B26D58" w:rsidRPr="00C56D85" w:rsidRDefault="00B26D58" w:rsidP="00B26D58">
      <w:pPr>
        <w:rPr>
          <w:sz w:val="22"/>
          <w:szCs w:val="22"/>
        </w:rPr>
      </w:pPr>
    </w:p>
    <w:p w:rsidR="002B7699" w:rsidRDefault="002B7699" w:rsidP="00B26D58">
      <w:pPr>
        <w:rPr>
          <w:sz w:val="22"/>
          <w:szCs w:val="22"/>
        </w:rPr>
      </w:pPr>
    </w:p>
    <w:p w:rsidR="002B7699" w:rsidRDefault="002B7699" w:rsidP="00B26D58">
      <w:pPr>
        <w:rPr>
          <w:sz w:val="22"/>
          <w:szCs w:val="22"/>
        </w:rPr>
      </w:pPr>
    </w:p>
    <w:p w:rsidR="00B26D58" w:rsidRPr="00C56D85" w:rsidRDefault="00B26D58" w:rsidP="00B26D58">
      <w:pPr>
        <w:rPr>
          <w:sz w:val="22"/>
          <w:szCs w:val="22"/>
        </w:rPr>
      </w:pPr>
      <w:r w:rsidRPr="00C56D85">
        <w:rPr>
          <w:sz w:val="22"/>
          <w:szCs w:val="22"/>
        </w:rPr>
        <w:t xml:space="preserve">Regards </w:t>
      </w:r>
    </w:p>
    <w:p w:rsidR="001F7D17" w:rsidRDefault="001F7D17" w:rsidP="001F7D17">
      <w:pPr>
        <w:tabs>
          <w:tab w:val="left" w:pos="3119"/>
          <w:tab w:val="left" w:pos="3969"/>
        </w:tabs>
      </w:pPr>
      <w:r>
        <w:rPr>
          <w:noProof/>
          <w:lang w:eastAsia="en-NZ"/>
        </w:rPr>
        <w:drawing>
          <wp:anchor distT="0" distB="0" distL="114300" distR="114300" simplePos="0" relativeHeight="251659264" behindDoc="0" locked="0" layoutInCell="1" allowOverlap="1">
            <wp:simplePos x="0" y="0"/>
            <wp:positionH relativeFrom="margin">
              <wp:posOffset>-144780</wp:posOffset>
            </wp:positionH>
            <wp:positionV relativeFrom="margin">
              <wp:posOffset>6506210</wp:posOffset>
            </wp:positionV>
            <wp:extent cx="933450" cy="6553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33450" cy="655320"/>
                    </a:xfrm>
                    <a:prstGeom prst="rect">
                      <a:avLst/>
                    </a:prstGeom>
                    <a:noFill/>
                    <a:ln w="9525">
                      <a:noFill/>
                      <a:miter lim="800000"/>
                      <a:headEnd/>
                      <a:tailEnd/>
                    </a:ln>
                  </pic:spPr>
                </pic:pic>
              </a:graphicData>
            </a:graphic>
          </wp:anchor>
        </w:drawing>
      </w:r>
    </w:p>
    <w:p w:rsidR="001F7D17" w:rsidRPr="009811D6" w:rsidRDefault="001F7D17" w:rsidP="001F7D17">
      <w:pPr>
        <w:tabs>
          <w:tab w:val="left" w:pos="3119"/>
          <w:tab w:val="left" w:pos="3969"/>
        </w:tabs>
      </w:pPr>
      <w:r w:rsidRPr="009811D6">
        <w:tab/>
      </w:r>
      <w:r w:rsidRPr="009811D6">
        <w:tab/>
      </w:r>
      <w:r w:rsidRPr="009811D6">
        <w:tab/>
      </w:r>
      <w:r w:rsidRPr="009811D6">
        <w:tab/>
      </w:r>
    </w:p>
    <w:p w:rsidR="001F7D17" w:rsidRPr="009811D6" w:rsidRDefault="001F7D17" w:rsidP="001F7D17"/>
    <w:p w:rsidR="001F7D17" w:rsidRDefault="001F7D17" w:rsidP="001F7D17">
      <w:pPr>
        <w:tabs>
          <w:tab w:val="left" w:pos="3969"/>
          <w:tab w:val="left" w:pos="6237"/>
        </w:tabs>
        <w:rPr>
          <w:b/>
        </w:rPr>
      </w:pPr>
    </w:p>
    <w:p w:rsidR="001F7D17" w:rsidRDefault="001F7D17" w:rsidP="001F7D17">
      <w:pPr>
        <w:tabs>
          <w:tab w:val="left" w:pos="3969"/>
          <w:tab w:val="left" w:pos="6237"/>
        </w:tabs>
        <w:rPr>
          <w:b/>
        </w:rPr>
      </w:pPr>
    </w:p>
    <w:p w:rsidR="001C10F6" w:rsidRDefault="001C10F6" w:rsidP="001F7D17">
      <w:pPr>
        <w:tabs>
          <w:tab w:val="left" w:pos="3969"/>
          <w:tab w:val="left" w:pos="6237"/>
        </w:tabs>
        <w:rPr>
          <w:b/>
        </w:rPr>
      </w:pPr>
    </w:p>
    <w:p w:rsidR="006E64D6" w:rsidRDefault="006E64D6" w:rsidP="001F7D17">
      <w:pPr>
        <w:tabs>
          <w:tab w:val="left" w:pos="3969"/>
          <w:tab w:val="left" w:pos="6237"/>
        </w:tabs>
        <w:rPr>
          <w:b/>
        </w:rPr>
      </w:pPr>
    </w:p>
    <w:p w:rsidR="001F7D17" w:rsidRPr="009811D6" w:rsidRDefault="001F7D17" w:rsidP="001F7D17">
      <w:pPr>
        <w:tabs>
          <w:tab w:val="left" w:pos="3969"/>
          <w:tab w:val="left" w:pos="6237"/>
        </w:tabs>
        <w:rPr>
          <w:b/>
        </w:rPr>
      </w:pPr>
      <w:r w:rsidRPr="009811D6">
        <w:rPr>
          <w:b/>
        </w:rPr>
        <w:t>Dr Phil Schroeder</w:t>
      </w:r>
      <w:r w:rsidRPr="009811D6">
        <w:rPr>
          <w:b/>
        </w:rPr>
        <w:tab/>
      </w:r>
      <w:r w:rsidRPr="009811D6">
        <w:rPr>
          <w:b/>
        </w:rPr>
        <w:tab/>
        <w:t xml:space="preserve"> </w:t>
      </w:r>
    </w:p>
    <w:p w:rsidR="001F7D17" w:rsidRPr="009811D6" w:rsidRDefault="001F7D17" w:rsidP="001F7D17">
      <w:pPr>
        <w:tabs>
          <w:tab w:val="left" w:pos="3402"/>
          <w:tab w:val="left" w:pos="3969"/>
          <w:tab w:val="left" w:pos="6237"/>
        </w:tabs>
      </w:pPr>
      <w:r w:rsidRPr="009811D6">
        <w:t>Primary Care Coordinator</w:t>
      </w:r>
      <w:r w:rsidRPr="009811D6">
        <w:tab/>
      </w:r>
      <w:r>
        <w:tab/>
      </w:r>
      <w:r w:rsidRPr="009811D6">
        <w:tab/>
      </w:r>
    </w:p>
    <w:p w:rsidR="002B7699" w:rsidRDefault="001F7D17" w:rsidP="001F7D17">
      <w:pPr>
        <w:pStyle w:val="BodyText"/>
        <w:spacing w:before="0" w:after="240"/>
        <w:ind w:left="0"/>
        <w:rPr>
          <w:sz w:val="22"/>
          <w:szCs w:val="22"/>
        </w:rPr>
      </w:pPr>
      <w:r w:rsidRPr="009811D6">
        <w:t>Canterbury Primary Response Group</w:t>
      </w:r>
    </w:p>
    <w:p w:rsidR="002B7699" w:rsidRDefault="0077363A" w:rsidP="0077363A">
      <w:pPr>
        <w:pStyle w:val="BodyText"/>
        <w:ind w:left="0"/>
        <w:rPr>
          <w:sz w:val="22"/>
          <w:szCs w:val="22"/>
        </w:rPr>
      </w:pPr>
      <w:r w:rsidRPr="0077363A">
        <w:rPr>
          <w:sz w:val="22"/>
          <w:szCs w:val="22"/>
          <w:u w:val="single"/>
        </w:rPr>
        <w:t>Appendi</w:t>
      </w:r>
      <w:r w:rsidR="002B7699">
        <w:rPr>
          <w:sz w:val="22"/>
          <w:szCs w:val="22"/>
          <w:u w:val="single"/>
        </w:rPr>
        <w:t>ces</w:t>
      </w:r>
      <w:r w:rsidRPr="0077363A">
        <w:rPr>
          <w:sz w:val="22"/>
          <w:szCs w:val="22"/>
          <w:u w:val="single"/>
        </w:rPr>
        <w:t>:</w:t>
      </w:r>
    </w:p>
    <w:p w:rsidR="002A3F54" w:rsidRDefault="002A3F54" w:rsidP="002A3F54">
      <w:pPr>
        <w:pStyle w:val="BodyText"/>
        <w:numPr>
          <w:ilvl w:val="0"/>
          <w:numId w:val="18"/>
        </w:numPr>
        <w:spacing w:before="0" w:after="0"/>
        <w:ind w:left="357" w:hanging="357"/>
        <w:jc w:val="left"/>
        <w:rPr>
          <w:sz w:val="22"/>
          <w:szCs w:val="22"/>
        </w:rPr>
      </w:pPr>
      <w:r w:rsidRPr="002426D1">
        <w:rPr>
          <w:sz w:val="22"/>
          <w:szCs w:val="22"/>
        </w:rPr>
        <w:t>PMS Earthquake funded consultations as from 14 March 2011</w:t>
      </w:r>
    </w:p>
    <w:p w:rsidR="002A3F54" w:rsidRDefault="002A3F54" w:rsidP="002A3F54">
      <w:pPr>
        <w:pStyle w:val="BodyText"/>
        <w:numPr>
          <w:ilvl w:val="0"/>
          <w:numId w:val="18"/>
        </w:numPr>
        <w:spacing w:before="0" w:after="0"/>
        <w:ind w:left="357" w:hanging="357"/>
        <w:jc w:val="left"/>
        <w:rPr>
          <w:sz w:val="22"/>
          <w:szCs w:val="22"/>
        </w:rPr>
      </w:pPr>
      <w:r>
        <w:rPr>
          <w:sz w:val="22"/>
          <w:szCs w:val="22"/>
        </w:rPr>
        <w:t>AMDS Scenarios</w:t>
      </w:r>
    </w:p>
    <w:p w:rsidR="00A84E27" w:rsidRDefault="00A84E27" w:rsidP="00A84E27">
      <w:pPr>
        <w:pStyle w:val="BodyText"/>
        <w:spacing w:before="0" w:after="0"/>
        <w:ind w:left="0"/>
        <w:jc w:val="left"/>
        <w:rPr>
          <w:sz w:val="22"/>
          <w:szCs w:val="22"/>
        </w:rPr>
        <w:sectPr w:rsidR="00A84E27" w:rsidSect="00615F0A">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20" w:footer="709" w:gutter="0"/>
          <w:cols w:space="720"/>
          <w:docGrid w:linePitch="360"/>
        </w:sectPr>
      </w:pPr>
    </w:p>
    <w:p w:rsidR="00A84E27" w:rsidRDefault="00A84E27" w:rsidP="00A84E27">
      <w:pPr>
        <w:jc w:val="right"/>
        <w:rPr>
          <w:b/>
          <w:sz w:val="28"/>
          <w:szCs w:val="28"/>
          <w:u w:val="single"/>
        </w:rPr>
      </w:pPr>
      <w:r>
        <w:rPr>
          <w:b/>
          <w:sz w:val="28"/>
          <w:szCs w:val="28"/>
          <w:u w:val="single"/>
        </w:rPr>
        <w:lastRenderedPageBreak/>
        <w:t>APPENDIX 1</w:t>
      </w:r>
    </w:p>
    <w:p w:rsidR="00A84E27" w:rsidRDefault="00A84E27" w:rsidP="00A84E27">
      <w:pPr>
        <w:rPr>
          <w:b/>
          <w:sz w:val="28"/>
          <w:szCs w:val="28"/>
          <w:u w:val="single"/>
        </w:rPr>
      </w:pPr>
    </w:p>
    <w:p w:rsidR="00A84E27" w:rsidRPr="00520E29" w:rsidRDefault="00A84E27" w:rsidP="00A84E27">
      <w:pPr>
        <w:jc w:val="center"/>
        <w:rPr>
          <w:b/>
          <w:sz w:val="28"/>
          <w:szCs w:val="28"/>
          <w:u w:val="single"/>
        </w:rPr>
      </w:pPr>
      <w:r>
        <w:rPr>
          <w:b/>
          <w:sz w:val="28"/>
          <w:szCs w:val="28"/>
          <w:u w:val="single"/>
        </w:rPr>
        <w:t>PMS Earthquake funded c</w:t>
      </w:r>
      <w:r w:rsidRPr="00520E29">
        <w:rPr>
          <w:b/>
          <w:sz w:val="28"/>
          <w:szCs w:val="28"/>
          <w:u w:val="single"/>
        </w:rPr>
        <w:t>onsultations as from 14 March 2011</w:t>
      </w:r>
    </w:p>
    <w:p w:rsidR="00A84E27" w:rsidRPr="00FF109A" w:rsidRDefault="00A84E27" w:rsidP="00A84E27">
      <w:pPr>
        <w:jc w:val="left"/>
        <w:rPr>
          <w:sz w:val="22"/>
          <w:szCs w:val="22"/>
        </w:rPr>
      </w:pPr>
    </w:p>
    <w:p w:rsidR="00A84E27" w:rsidRPr="00FF109A" w:rsidRDefault="00A84E27" w:rsidP="00A84E27">
      <w:pPr>
        <w:jc w:val="left"/>
        <w:rPr>
          <w:sz w:val="22"/>
          <w:szCs w:val="22"/>
        </w:rPr>
      </w:pPr>
      <w:r>
        <w:rPr>
          <w:noProof/>
          <w:lang w:eastAsia="en-NZ"/>
        </w:rPr>
        <w:drawing>
          <wp:anchor distT="0" distB="0" distL="114300" distR="114300" simplePos="0" relativeHeight="251673600" behindDoc="1" locked="0" layoutInCell="1" allowOverlap="1">
            <wp:simplePos x="0" y="0"/>
            <wp:positionH relativeFrom="column">
              <wp:posOffset>3176270</wp:posOffset>
            </wp:positionH>
            <wp:positionV relativeFrom="paragraph">
              <wp:posOffset>7620</wp:posOffset>
            </wp:positionV>
            <wp:extent cx="2264410" cy="3590925"/>
            <wp:effectExtent l="19050" t="0" r="2540" b="0"/>
            <wp:wrapTight wrapText="left">
              <wp:wrapPolygon edited="0">
                <wp:start x="-182" y="0"/>
                <wp:lineTo x="-182" y="21543"/>
                <wp:lineTo x="21624" y="21543"/>
                <wp:lineTo x="21624" y="0"/>
                <wp:lineTo x="-182" y="0"/>
              </wp:wrapPolygon>
            </wp:wrapTight>
            <wp:docPr id="15" name="Picture 2" descr="cid:image001.png@01CBDF2E.B7E2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BDF2E.B7E2B9D0"/>
                    <pic:cNvPicPr>
                      <a:picLocks noChangeAspect="1" noChangeArrowheads="1"/>
                    </pic:cNvPicPr>
                  </pic:nvPicPr>
                  <pic:blipFill>
                    <a:blip r:embed="rId17" r:link="rId18"/>
                    <a:srcRect/>
                    <a:stretch>
                      <a:fillRect/>
                    </a:stretch>
                  </pic:blipFill>
                  <pic:spPr bwMode="auto">
                    <a:xfrm>
                      <a:off x="0" y="0"/>
                      <a:ext cx="2264410" cy="3590925"/>
                    </a:xfrm>
                    <a:prstGeom prst="rect">
                      <a:avLst/>
                    </a:prstGeom>
                    <a:noFill/>
                    <a:ln w="9525">
                      <a:noFill/>
                      <a:miter lim="800000"/>
                      <a:headEnd/>
                      <a:tailEnd/>
                    </a:ln>
                  </pic:spPr>
                </pic:pic>
              </a:graphicData>
            </a:graphic>
          </wp:anchor>
        </w:drawing>
      </w:r>
    </w:p>
    <w:p w:rsidR="00A84E27" w:rsidRDefault="00A84E27" w:rsidP="00A84E27">
      <w:pPr>
        <w:jc w:val="left"/>
        <w:rPr>
          <w:sz w:val="22"/>
          <w:szCs w:val="22"/>
        </w:rPr>
      </w:pPr>
      <w:r w:rsidRPr="00C94A0E">
        <w:rPr>
          <w:sz w:val="22"/>
          <w:szCs w:val="22"/>
          <w:u w:val="single"/>
        </w:rPr>
        <w:t>Non</w:t>
      </w:r>
      <w:r>
        <w:rPr>
          <w:sz w:val="22"/>
          <w:szCs w:val="22"/>
          <w:u w:val="single"/>
        </w:rPr>
        <w:t>-</w:t>
      </w:r>
      <w:proofErr w:type="spellStart"/>
      <w:r w:rsidRPr="00C94A0E">
        <w:rPr>
          <w:sz w:val="22"/>
          <w:szCs w:val="22"/>
          <w:u w:val="single"/>
        </w:rPr>
        <w:t>Medtech</w:t>
      </w:r>
      <w:proofErr w:type="spellEnd"/>
      <w:r w:rsidRPr="00C94A0E">
        <w:rPr>
          <w:sz w:val="22"/>
          <w:szCs w:val="22"/>
          <w:u w:val="single"/>
        </w:rPr>
        <w:t xml:space="preserve"> users</w:t>
      </w:r>
      <w:r>
        <w:rPr>
          <w:sz w:val="22"/>
          <w:szCs w:val="22"/>
        </w:rPr>
        <w:t>, please consult your vendors, who have received a copy of this instruction.</w:t>
      </w:r>
    </w:p>
    <w:p w:rsidR="00A84E27" w:rsidRDefault="00A84E27" w:rsidP="00A84E27">
      <w:pPr>
        <w:jc w:val="left"/>
        <w:rPr>
          <w:sz w:val="22"/>
          <w:szCs w:val="22"/>
        </w:rPr>
      </w:pPr>
    </w:p>
    <w:p w:rsidR="00A84E27" w:rsidRDefault="00A84E27" w:rsidP="00A84E27">
      <w:pPr>
        <w:jc w:val="left"/>
        <w:rPr>
          <w:sz w:val="22"/>
          <w:szCs w:val="22"/>
        </w:rPr>
      </w:pPr>
      <w:r w:rsidRPr="00FF109A">
        <w:rPr>
          <w:sz w:val="22"/>
          <w:szCs w:val="22"/>
        </w:rPr>
        <w:t xml:space="preserve">In Medtech32, </w:t>
      </w:r>
      <w:r>
        <w:rPr>
          <w:sz w:val="22"/>
          <w:szCs w:val="22"/>
        </w:rPr>
        <w:t xml:space="preserve">go to </w:t>
      </w:r>
      <w:r w:rsidRPr="008A4485">
        <w:rPr>
          <w:b/>
          <w:sz w:val="22"/>
          <w:szCs w:val="22"/>
        </w:rPr>
        <w:t>Setup / Accounting / Services</w:t>
      </w:r>
      <w:r>
        <w:rPr>
          <w:sz w:val="22"/>
          <w:szCs w:val="22"/>
        </w:rPr>
        <w:t>.</w:t>
      </w:r>
    </w:p>
    <w:p w:rsidR="00A84E27" w:rsidRDefault="00A84E27" w:rsidP="00A84E27">
      <w:pPr>
        <w:jc w:val="left"/>
        <w:rPr>
          <w:sz w:val="22"/>
          <w:szCs w:val="22"/>
        </w:rPr>
      </w:pPr>
    </w:p>
    <w:p w:rsidR="00A84E27" w:rsidRDefault="00A84E27" w:rsidP="00A84E27">
      <w:pPr>
        <w:jc w:val="left"/>
        <w:rPr>
          <w:sz w:val="22"/>
          <w:szCs w:val="22"/>
        </w:rPr>
      </w:pPr>
      <w:r>
        <w:rPr>
          <w:sz w:val="22"/>
          <w:szCs w:val="22"/>
        </w:rPr>
        <w:t xml:space="preserve">Click on the </w:t>
      </w:r>
      <w:r w:rsidRPr="008A4485">
        <w:rPr>
          <w:b/>
          <w:sz w:val="22"/>
          <w:szCs w:val="22"/>
        </w:rPr>
        <w:t>Add New Service</w:t>
      </w:r>
      <w:r>
        <w:rPr>
          <w:sz w:val="22"/>
          <w:szCs w:val="22"/>
        </w:rPr>
        <w:t xml:space="preserve"> icon, and enter </w:t>
      </w:r>
      <w:r w:rsidRPr="00FF109A">
        <w:rPr>
          <w:sz w:val="22"/>
          <w:szCs w:val="22"/>
        </w:rPr>
        <w:t>a new service code called</w:t>
      </w:r>
      <w:r>
        <w:rPr>
          <w:sz w:val="22"/>
          <w:szCs w:val="22"/>
        </w:rPr>
        <w:t>:</w:t>
      </w:r>
    </w:p>
    <w:p w:rsidR="00A84E27" w:rsidRDefault="00A84E27" w:rsidP="00A84E27">
      <w:pPr>
        <w:jc w:val="left"/>
        <w:rPr>
          <w:sz w:val="22"/>
          <w:szCs w:val="22"/>
        </w:rPr>
      </w:pPr>
    </w:p>
    <w:p w:rsidR="00A84E27" w:rsidRDefault="00A84E27" w:rsidP="00A84E27">
      <w:pPr>
        <w:jc w:val="left"/>
        <w:rPr>
          <w:sz w:val="22"/>
          <w:szCs w:val="22"/>
        </w:rPr>
      </w:pPr>
      <w:r w:rsidRPr="00FF109A">
        <w:rPr>
          <w:sz w:val="22"/>
          <w:szCs w:val="22"/>
        </w:rPr>
        <w:t>Code:</w:t>
      </w:r>
      <w:r>
        <w:rPr>
          <w:sz w:val="22"/>
          <w:szCs w:val="22"/>
        </w:rPr>
        <w:t xml:space="preserve">   </w:t>
      </w:r>
      <w:r w:rsidRPr="00FF109A">
        <w:rPr>
          <w:b/>
          <w:sz w:val="22"/>
          <w:szCs w:val="22"/>
        </w:rPr>
        <w:t>CEQ</w:t>
      </w:r>
      <w:r w:rsidRPr="00FF109A">
        <w:rPr>
          <w:sz w:val="22"/>
          <w:szCs w:val="22"/>
        </w:rPr>
        <w:t xml:space="preserve">, </w:t>
      </w:r>
    </w:p>
    <w:p w:rsidR="00A84E27" w:rsidRPr="00FF109A" w:rsidRDefault="00A84E27" w:rsidP="00A84E27">
      <w:pPr>
        <w:jc w:val="left"/>
        <w:rPr>
          <w:sz w:val="22"/>
          <w:szCs w:val="22"/>
        </w:rPr>
      </w:pPr>
      <w:r>
        <w:rPr>
          <w:sz w:val="22"/>
          <w:szCs w:val="22"/>
        </w:rPr>
        <w:t xml:space="preserve">Description:   </w:t>
      </w:r>
      <w:r w:rsidRPr="00FF109A">
        <w:rPr>
          <w:b/>
          <w:sz w:val="22"/>
          <w:szCs w:val="22"/>
        </w:rPr>
        <w:t>Consult EQ Top Up</w:t>
      </w:r>
      <w:r w:rsidRPr="00FF109A">
        <w:rPr>
          <w:sz w:val="22"/>
          <w:szCs w:val="22"/>
        </w:rPr>
        <w:t>.</w:t>
      </w:r>
    </w:p>
    <w:p w:rsidR="00A84E27" w:rsidRPr="00FF109A" w:rsidRDefault="00A84E27" w:rsidP="00A84E27">
      <w:pPr>
        <w:jc w:val="left"/>
        <w:rPr>
          <w:sz w:val="22"/>
          <w:szCs w:val="22"/>
        </w:rPr>
      </w:pPr>
    </w:p>
    <w:p w:rsidR="00A84E27" w:rsidRPr="00FF109A" w:rsidRDefault="00A84E27" w:rsidP="00A84E27">
      <w:pPr>
        <w:jc w:val="left"/>
        <w:rPr>
          <w:sz w:val="22"/>
          <w:szCs w:val="22"/>
        </w:rPr>
      </w:pPr>
      <w:r w:rsidRPr="00FF109A">
        <w:rPr>
          <w:sz w:val="22"/>
          <w:szCs w:val="22"/>
        </w:rPr>
        <w:t>Service Fee</w:t>
      </w:r>
      <w:r>
        <w:rPr>
          <w:sz w:val="22"/>
          <w:szCs w:val="22"/>
        </w:rPr>
        <w:t xml:space="preserve">:  </w:t>
      </w:r>
      <w:r w:rsidRPr="00FF109A">
        <w:rPr>
          <w:sz w:val="22"/>
          <w:szCs w:val="22"/>
        </w:rPr>
        <w:t xml:space="preserve"> </w:t>
      </w:r>
      <w:r w:rsidRPr="00FF109A">
        <w:rPr>
          <w:b/>
          <w:sz w:val="22"/>
          <w:szCs w:val="22"/>
        </w:rPr>
        <w:t>30.00</w:t>
      </w:r>
      <w:r w:rsidRPr="00FF109A">
        <w:rPr>
          <w:sz w:val="22"/>
          <w:szCs w:val="22"/>
        </w:rPr>
        <w:t>.</w:t>
      </w:r>
    </w:p>
    <w:p w:rsidR="00A84E27" w:rsidRPr="00FF109A" w:rsidRDefault="00A84E27" w:rsidP="00A84E27">
      <w:pPr>
        <w:jc w:val="left"/>
        <w:rPr>
          <w:sz w:val="22"/>
          <w:szCs w:val="22"/>
        </w:rPr>
      </w:pPr>
    </w:p>
    <w:p w:rsidR="00A84E27" w:rsidRPr="00FF109A" w:rsidRDefault="00A84E27" w:rsidP="00A84E27">
      <w:pPr>
        <w:jc w:val="left"/>
        <w:rPr>
          <w:sz w:val="22"/>
          <w:szCs w:val="22"/>
        </w:rPr>
      </w:pPr>
      <w:r w:rsidRPr="00FF109A">
        <w:rPr>
          <w:b/>
          <w:sz w:val="22"/>
          <w:szCs w:val="22"/>
        </w:rPr>
        <w:t>Tick</w:t>
      </w:r>
      <w:r w:rsidRPr="00FF109A">
        <w:rPr>
          <w:sz w:val="22"/>
          <w:szCs w:val="22"/>
        </w:rPr>
        <w:t xml:space="preserve"> the box beside ‘Not </w:t>
      </w:r>
      <w:proofErr w:type="spellStart"/>
      <w:r w:rsidRPr="00FF109A">
        <w:rPr>
          <w:sz w:val="22"/>
          <w:szCs w:val="22"/>
        </w:rPr>
        <w:t>Capitated</w:t>
      </w:r>
      <w:proofErr w:type="spellEnd"/>
      <w:r w:rsidRPr="00FF109A">
        <w:rPr>
          <w:sz w:val="22"/>
          <w:szCs w:val="22"/>
        </w:rPr>
        <w:t>’.</w:t>
      </w: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r>
        <w:rPr>
          <w:sz w:val="22"/>
          <w:szCs w:val="22"/>
        </w:rPr>
        <w:t xml:space="preserve">Click on the GMS Adjustment tab, and </w:t>
      </w:r>
      <w:r w:rsidRPr="00FF109A">
        <w:rPr>
          <w:b/>
          <w:sz w:val="22"/>
          <w:szCs w:val="22"/>
        </w:rPr>
        <w:t xml:space="preserve">enter all the </w:t>
      </w:r>
      <w:r>
        <w:rPr>
          <w:b/>
          <w:sz w:val="22"/>
          <w:szCs w:val="22"/>
        </w:rPr>
        <w:t>amounts in the fields</w:t>
      </w:r>
      <w:r w:rsidRPr="00FF109A">
        <w:rPr>
          <w:sz w:val="22"/>
          <w:szCs w:val="22"/>
        </w:rPr>
        <w:t xml:space="preserve"> </w:t>
      </w:r>
      <w:r>
        <w:rPr>
          <w:sz w:val="22"/>
          <w:szCs w:val="22"/>
        </w:rPr>
        <w:t>as</w:t>
      </w:r>
      <w:r w:rsidRPr="00FF109A">
        <w:rPr>
          <w:sz w:val="22"/>
          <w:szCs w:val="22"/>
        </w:rPr>
        <w:t xml:space="preserve"> per the picture below.</w:t>
      </w:r>
    </w:p>
    <w:p w:rsidR="00A84E27" w:rsidRDefault="00A84E27" w:rsidP="00A84E27">
      <w:pPr>
        <w:jc w:val="left"/>
        <w:rPr>
          <w:sz w:val="22"/>
          <w:szCs w:val="22"/>
        </w:rPr>
      </w:pPr>
    </w:p>
    <w:p w:rsidR="00A84E27" w:rsidRDefault="00A84E27" w:rsidP="00A84E27">
      <w:pPr>
        <w:jc w:val="left"/>
        <w:rPr>
          <w:sz w:val="22"/>
          <w:szCs w:val="22"/>
        </w:rPr>
      </w:pPr>
      <w:r>
        <w:rPr>
          <w:noProof/>
          <w:lang w:eastAsia="en-NZ"/>
        </w:rPr>
        <w:drawing>
          <wp:anchor distT="0" distB="0" distL="114300" distR="114300" simplePos="0" relativeHeight="251674624" behindDoc="1" locked="0" layoutInCell="1" allowOverlap="1">
            <wp:simplePos x="0" y="0"/>
            <wp:positionH relativeFrom="column">
              <wp:posOffset>290195</wp:posOffset>
            </wp:positionH>
            <wp:positionV relativeFrom="paragraph">
              <wp:posOffset>86995</wp:posOffset>
            </wp:positionV>
            <wp:extent cx="5150485" cy="3413125"/>
            <wp:effectExtent l="19050" t="0" r="0" b="0"/>
            <wp:wrapTight wrapText="left">
              <wp:wrapPolygon edited="0">
                <wp:start x="-80" y="0"/>
                <wp:lineTo x="-80" y="21459"/>
                <wp:lineTo x="21571" y="21459"/>
                <wp:lineTo x="21571" y="0"/>
                <wp:lineTo x="-80" y="0"/>
              </wp:wrapPolygon>
            </wp:wrapTight>
            <wp:docPr id="16" name="Picture 1" descr="cid:image002.png@01CBDF2E.B7E2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BDF2E.B7E2B9D0"/>
                    <pic:cNvPicPr>
                      <a:picLocks noChangeAspect="1" noChangeArrowheads="1"/>
                    </pic:cNvPicPr>
                  </pic:nvPicPr>
                  <pic:blipFill>
                    <a:blip r:embed="rId19" r:link="rId20"/>
                    <a:srcRect/>
                    <a:stretch>
                      <a:fillRect/>
                    </a:stretch>
                  </pic:blipFill>
                  <pic:spPr bwMode="auto">
                    <a:xfrm>
                      <a:off x="0" y="0"/>
                      <a:ext cx="5150485" cy="3413125"/>
                    </a:xfrm>
                    <a:prstGeom prst="rect">
                      <a:avLst/>
                    </a:prstGeom>
                    <a:noFill/>
                    <a:ln w="9525">
                      <a:noFill/>
                      <a:miter lim="800000"/>
                      <a:headEnd/>
                      <a:tailEnd/>
                    </a:ln>
                  </pic:spPr>
                </pic:pic>
              </a:graphicData>
            </a:graphic>
          </wp:anchor>
        </w:drawing>
      </w: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p>
    <w:p w:rsidR="00A84E27" w:rsidRDefault="00A84E27" w:rsidP="00A84E27">
      <w:pPr>
        <w:jc w:val="left"/>
        <w:rPr>
          <w:sz w:val="22"/>
          <w:szCs w:val="22"/>
        </w:rPr>
      </w:pPr>
      <w:r>
        <w:rPr>
          <w:sz w:val="22"/>
          <w:szCs w:val="22"/>
        </w:rPr>
        <w:t xml:space="preserve">The above code is only to be used as per the instructions on page two.  </w:t>
      </w:r>
    </w:p>
    <w:p w:rsidR="00A84E27" w:rsidRDefault="00A84E27" w:rsidP="00A84E27">
      <w:pPr>
        <w:jc w:val="left"/>
        <w:rPr>
          <w:sz w:val="22"/>
          <w:szCs w:val="22"/>
        </w:rPr>
      </w:pPr>
    </w:p>
    <w:p w:rsidR="00A84E27" w:rsidRDefault="00A84E27" w:rsidP="00A84E27">
      <w:pPr>
        <w:jc w:val="left"/>
        <w:rPr>
          <w:sz w:val="22"/>
          <w:szCs w:val="22"/>
        </w:rPr>
      </w:pPr>
      <w:r>
        <w:rPr>
          <w:sz w:val="22"/>
          <w:szCs w:val="22"/>
        </w:rPr>
        <w:t>If free ACC part charges (fees) are offered, continue to follow our previous instructions ‘Process for recording free GP visits on your PMS’.</w:t>
      </w:r>
    </w:p>
    <w:p w:rsidR="00A84E27" w:rsidRDefault="00A84E27" w:rsidP="00A84E27">
      <w:pPr>
        <w:rPr>
          <w:b/>
          <w:sz w:val="28"/>
          <w:szCs w:val="28"/>
          <w:u w:val="single"/>
        </w:rPr>
        <w:sectPr w:rsidR="00A84E27" w:rsidSect="006E64D6">
          <w:footerReference w:type="default" r:id="rId21"/>
          <w:pgSz w:w="11906" w:h="16838"/>
          <w:pgMar w:top="993" w:right="1418" w:bottom="1276" w:left="1418" w:header="720" w:footer="720" w:gutter="0"/>
          <w:cols w:space="720"/>
        </w:sectPr>
      </w:pPr>
    </w:p>
    <w:p w:rsidR="00A84E27" w:rsidRDefault="00A84E27" w:rsidP="00A84E27">
      <w:pPr>
        <w:jc w:val="center"/>
        <w:rPr>
          <w:b/>
          <w:sz w:val="28"/>
          <w:szCs w:val="28"/>
          <w:u w:val="single"/>
        </w:rPr>
      </w:pPr>
      <w:r>
        <w:rPr>
          <w:b/>
          <w:sz w:val="28"/>
          <w:szCs w:val="28"/>
          <w:u w:val="single"/>
        </w:rPr>
        <w:lastRenderedPageBreak/>
        <w:t>Instructions to follow f</w:t>
      </w:r>
      <w:r w:rsidRPr="00FF109A">
        <w:rPr>
          <w:b/>
          <w:sz w:val="28"/>
          <w:szCs w:val="28"/>
          <w:u w:val="single"/>
        </w:rPr>
        <w:t>or GMS consultations only</w:t>
      </w:r>
    </w:p>
    <w:p w:rsidR="00A84E27" w:rsidRPr="00FF109A" w:rsidRDefault="00A84E27" w:rsidP="00A84E27">
      <w:pPr>
        <w:rPr>
          <w:b/>
          <w:u w:val="single"/>
        </w:rPr>
      </w:pPr>
    </w:p>
    <w:p w:rsidR="00A84E27" w:rsidRPr="00520E29" w:rsidRDefault="00A84E27" w:rsidP="00A84E27">
      <w:pPr>
        <w:pStyle w:val="ListParagraph"/>
        <w:numPr>
          <w:ilvl w:val="0"/>
          <w:numId w:val="19"/>
        </w:numPr>
        <w:rPr>
          <w:b/>
          <w:sz w:val="28"/>
          <w:szCs w:val="28"/>
          <w:lang w:val="en-NZ"/>
        </w:rPr>
      </w:pPr>
      <w:r w:rsidRPr="00520E29">
        <w:rPr>
          <w:b/>
          <w:sz w:val="28"/>
          <w:szCs w:val="28"/>
          <w:lang w:val="en-NZ"/>
        </w:rPr>
        <w:t>Is the patient eligible for an earthquake consultation?</w:t>
      </w:r>
    </w:p>
    <w:p w:rsidR="00A84E27" w:rsidRDefault="007326D0" w:rsidP="00A84E27">
      <w:r>
        <w:rPr>
          <w:noProof/>
          <w:lang w:eastAsia="en-NZ"/>
        </w:rPr>
        <w:pict>
          <v:shapetype id="_x0000_t202" coordsize="21600,21600" o:spt="202" path="m,l,21600r21600,l21600,xe">
            <v:stroke joinstyle="miter"/>
            <v:path gradientshapeok="t" o:connecttype="rect"/>
          </v:shapetype>
          <v:shape id="_x0000_s1052" type="#_x0000_t202" style="position:absolute;left:0;text-align:left;margin-left:523.35pt;margin-top:9.9pt;width:60.75pt;height:22.5pt;z-index:251677696" stroked="f">
            <v:textbox>
              <w:txbxContent>
                <w:p w:rsidR="006E64D6" w:rsidRPr="00520E29" w:rsidRDefault="006E64D6" w:rsidP="00A84E27">
                  <w:pPr>
                    <w:jc w:val="center"/>
                    <w:rPr>
                      <w:b/>
                      <w:sz w:val="24"/>
                      <w:szCs w:val="24"/>
                    </w:rPr>
                  </w:pPr>
                  <w:r w:rsidRPr="00520E29">
                    <w:rPr>
                      <w:b/>
                      <w:sz w:val="24"/>
                      <w:szCs w:val="24"/>
                    </w:rPr>
                    <w:t>NO</w:t>
                  </w:r>
                </w:p>
              </w:txbxContent>
            </v:textbox>
          </v:shape>
        </w:pict>
      </w:r>
    </w:p>
    <w:p w:rsidR="00A84E27" w:rsidRPr="00A84E27" w:rsidRDefault="007326D0" w:rsidP="00A84E27">
      <w:pPr>
        <w:sectPr w:rsidR="00A84E27" w:rsidRPr="00A84E27" w:rsidSect="00A84E27">
          <w:pgSz w:w="16838" w:h="11906" w:orient="landscape"/>
          <w:pgMar w:top="1418" w:right="993" w:bottom="1418" w:left="1276" w:header="720" w:footer="720" w:gutter="0"/>
          <w:cols w:space="720"/>
          <w:docGrid w:linePitch="272"/>
        </w:sectPr>
      </w:pPr>
      <w:r>
        <w:rPr>
          <w:noProof/>
          <w:lang w:eastAsia="en-NZ"/>
        </w:rPr>
        <w:pict>
          <v:shapetype id="_x0000_t32" coordsize="21600,21600" o:spt="32" o:oned="t" path="m,l21600,21600e" filled="f">
            <v:path arrowok="t" fillok="f" o:connecttype="none"/>
            <o:lock v:ext="edit" shapetype="t"/>
          </v:shapetype>
          <v:shape id="_x0000_s1072" type="#_x0000_t32" style="position:absolute;left:0;text-align:left;margin-left:661.85pt;margin-top:100.75pt;width:0;height:15pt;z-index:251698176" o:connectortype="straight">
            <v:stroke endarrow="block"/>
          </v:shape>
        </w:pict>
      </w:r>
      <w:r>
        <w:rPr>
          <w:noProof/>
          <w:lang w:eastAsia="en-NZ"/>
        </w:rPr>
        <w:pict>
          <v:shape id="_x0000_s1058" type="#_x0000_t202" style="position:absolute;left:0;text-align:left;margin-left:645.6pt;margin-top:76pt;width:34.5pt;height:22.5pt;z-index:251683840" stroked="f">
            <v:textbox style="mso-next-textbox:#_x0000_s1058">
              <w:txbxContent>
                <w:p w:rsidR="006E64D6" w:rsidRPr="00167737" w:rsidRDefault="006E64D6" w:rsidP="00A84E27">
                  <w:pPr>
                    <w:jc w:val="center"/>
                    <w:rPr>
                      <w:b/>
                      <w:sz w:val="22"/>
                      <w:szCs w:val="22"/>
                    </w:rPr>
                  </w:pPr>
                  <w:r w:rsidRPr="00167737">
                    <w:rPr>
                      <w:b/>
                      <w:sz w:val="22"/>
                      <w:szCs w:val="22"/>
                    </w:rPr>
                    <w:t>NO</w:t>
                  </w:r>
                </w:p>
              </w:txbxContent>
            </v:textbox>
          </v:shape>
        </w:pict>
      </w:r>
      <w:r>
        <w:rPr>
          <w:noProof/>
          <w:lang w:eastAsia="en-NZ"/>
        </w:rPr>
        <w:pict>
          <v:shape id="_x0000_s1070" type="#_x0000_t32" style="position:absolute;left:0;text-align:left;margin-left:620.85pt;margin-top:47.7pt;width:41pt;height:28.3pt;z-index:251696128" o:connectortype="straight">
            <v:stroke endarrow="block"/>
          </v:shape>
        </w:pict>
      </w:r>
      <w:r>
        <w:rPr>
          <w:noProof/>
          <w:lang w:eastAsia="en-NZ"/>
        </w:rPr>
        <w:pict>
          <v:shape id="_x0000_s1066" type="#_x0000_t32" style="position:absolute;left:0;text-align:left;margin-left:46.85pt;margin-top:100.75pt;width:0;height:15pt;z-index:251692032" o:connectortype="straight">
            <v:stroke endarrow="block"/>
          </v:shape>
        </w:pict>
      </w:r>
      <w:r>
        <w:rPr>
          <w:noProof/>
          <w:lang w:eastAsia="en-NZ"/>
        </w:rPr>
        <w:pict>
          <v:shape id="_x0000_s1060" type="#_x0000_t202" style="position:absolute;left:0;text-align:left;margin-left:199.6pt;margin-top:120.55pt;width:117pt;height:126.45pt;z-index:251685888">
            <v:textbox style="mso-next-textbox:#_x0000_s1060">
              <w:txbxContent>
                <w:p w:rsidR="006E64D6" w:rsidRPr="00D65036" w:rsidRDefault="006E64D6" w:rsidP="00A84E27">
                  <w:r w:rsidRPr="00D65036">
                    <w:t>Create a new Invoice</w:t>
                  </w:r>
                  <w:r>
                    <w:t>.</w:t>
                  </w:r>
                </w:p>
                <w:p w:rsidR="006E64D6" w:rsidRDefault="006E64D6" w:rsidP="00A84E27"/>
                <w:p w:rsidR="006E64D6" w:rsidRDefault="006E64D6" w:rsidP="00A84E27">
                  <w:pPr>
                    <w:jc w:val="left"/>
                  </w:pPr>
                  <w:r>
                    <w:t xml:space="preserve">Change the Account holder to </w:t>
                  </w:r>
                  <w:r w:rsidRPr="00167737">
                    <w:rPr>
                      <w:b/>
                    </w:rPr>
                    <w:t>QUAKE</w:t>
                  </w:r>
                </w:p>
                <w:p w:rsidR="006E64D6" w:rsidRDefault="006E64D6" w:rsidP="00A84E27">
                  <w:pPr>
                    <w:jc w:val="left"/>
                  </w:pPr>
                </w:p>
                <w:p w:rsidR="006E64D6" w:rsidRDefault="006E64D6" w:rsidP="00A84E27">
                  <w:pPr>
                    <w:jc w:val="left"/>
                  </w:pPr>
                  <w:r>
                    <w:t xml:space="preserve">Enter the </w:t>
                  </w:r>
                  <w:r w:rsidRPr="00167737">
                    <w:rPr>
                      <w:b/>
                    </w:rPr>
                    <w:t>C</w:t>
                  </w:r>
                  <w:r>
                    <w:t xml:space="preserve"> for consultation.</w:t>
                  </w:r>
                </w:p>
                <w:p w:rsidR="006E64D6" w:rsidRDefault="006E64D6" w:rsidP="00A84E27"/>
                <w:p w:rsidR="006E64D6" w:rsidRPr="00D65036" w:rsidRDefault="006E64D6" w:rsidP="00A84E27">
                  <w:r>
                    <w:t xml:space="preserve">Click on </w:t>
                  </w:r>
                  <w:r w:rsidRPr="00167737">
                    <w:rPr>
                      <w:b/>
                    </w:rPr>
                    <w:t>OK</w:t>
                  </w:r>
                  <w:r>
                    <w:t xml:space="preserve"> to save.</w:t>
                  </w:r>
                </w:p>
              </w:txbxContent>
            </v:textbox>
          </v:shape>
        </w:pict>
      </w:r>
      <w:r>
        <w:rPr>
          <w:noProof/>
          <w:lang w:eastAsia="en-NZ"/>
        </w:rPr>
        <w:pict>
          <v:shape id="_x0000_s1061" type="#_x0000_t202" style="position:absolute;left:0;text-align:left;margin-left:362.1pt;margin-top:120.55pt;width:185pt;height:249.45pt;z-index:251686912">
            <v:textbox style="mso-next-textbox:#_x0000_s1061">
              <w:txbxContent>
                <w:p w:rsidR="006E64D6" w:rsidRPr="00D65036" w:rsidRDefault="006E64D6" w:rsidP="00A84E27">
                  <w:r w:rsidRPr="00D65036">
                    <w:t>Create a new Invoice</w:t>
                  </w:r>
                  <w:r>
                    <w:t>.</w:t>
                  </w:r>
                </w:p>
                <w:p w:rsidR="006E64D6" w:rsidRDefault="006E64D6" w:rsidP="00A84E27"/>
                <w:p w:rsidR="006E64D6" w:rsidRDefault="006E64D6" w:rsidP="00A84E27">
                  <w:r>
                    <w:t>Do not touch the account holder.  Leave it as is.</w:t>
                  </w:r>
                </w:p>
                <w:p w:rsidR="006E64D6" w:rsidRDefault="006E64D6" w:rsidP="00A84E27"/>
                <w:p w:rsidR="006E64D6" w:rsidRPr="00167737" w:rsidRDefault="006E64D6" w:rsidP="00A84E27">
                  <w:pPr>
                    <w:jc w:val="left"/>
                    <w:rPr>
                      <w:b/>
                    </w:rPr>
                  </w:pPr>
                  <w:r>
                    <w:t xml:space="preserve">Enter the </w:t>
                  </w:r>
                  <w:r w:rsidRPr="00167737">
                    <w:rPr>
                      <w:b/>
                    </w:rPr>
                    <w:t>C</w:t>
                  </w:r>
                  <w:r>
                    <w:t xml:space="preserve"> for consultation. </w:t>
                  </w:r>
                  <w:r w:rsidRPr="00167737">
                    <w:rPr>
                      <w:b/>
                    </w:rPr>
                    <w:t xml:space="preserve">Remember to </w:t>
                  </w:r>
                  <w:r w:rsidRPr="00167737">
                    <w:rPr>
                      <w:b/>
                      <w:u w:val="single"/>
                    </w:rPr>
                    <w:t>change the fee</w:t>
                  </w:r>
                  <w:r w:rsidRPr="00167737">
                    <w:rPr>
                      <w:b/>
                    </w:rPr>
                    <w:t xml:space="preserve"> to the amount you would charge a </w:t>
                  </w:r>
                  <w:proofErr w:type="spellStart"/>
                  <w:r w:rsidRPr="00167737">
                    <w:rPr>
                      <w:b/>
                    </w:rPr>
                    <w:t>capitated</w:t>
                  </w:r>
                  <w:proofErr w:type="spellEnd"/>
                  <w:r w:rsidRPr="00167737">
                    <w:rPr>
                      <w:b/>
                    </w:rPr>
                    <w:t xml:space="preserve"> pt for the same service and GMS code.</w:t>
                  </w:r>
                </w:p>
                <w:p w:rsidR="006E64D6" w:rsidRDefault="006E64D6" w:rsidP="00A84E27"/>
                <w:p w:rsidR="006E64D6" w:rsidRDefault="006E64D6" w:rsidP="00A84E27">
                  <w:r>
                    <w:t xml:space="preserve">Click on </w:t>
                  </w:r>
                  <w:r w:rsidRPr="00167737">
                    <w:rPr>
                      <w:b/>
                    </w:rPr>
                    <w:t>OK</w:t>
                  </w:r>
                  <w:r>
                    <w:t xml:space="preserve"> to save.</w:t>
                  </w:r>
                </w:p>
                <w:p w:rsidR="006E64D6" w:rsidRDefault="006E64D6" w:rsidP="00A84E27"/>
                <w:p w:rsidR="006E64D6" w:rsidRDefault="006E64D6" w:rsidP="00A84E27">
                  <w:r>
                    <w:t>Create another new invoice.</w:t>
                  </w:r>
                </w:p>
                <w:p w:rsidR="006E64D6" w:rsidRDefault="006E64D6" w:rsidP="00A84E27"/>
                <w:p w:rsidR="006E64D6" w:rsidRDefault="006E64D6" w:rsidP="00A84E27">
                  <w:r>
                    <w:t xml:space="preserve">Change the Account holder to </w:t>
                  </w:r>
                  <w:r w:rsidRPr="00167737">
                    <w:rPr>
                      <w:b/>
                    </w:rPr>
                    <w:t>QUAKE</w:t>
                  </w:r>
                </w:p>
                <w:p w:rsidR="006E64D6" w:rsidRDefault="006E64D6" w:rsidP="00A84E27"/>
                <w:p w:rsidR="006E64D6" w:rsidRDefault="006E64D6" w:rsidP="00A84E27">
                  <w:r>
                    <w:t xml:space="preserve">Enter the </w:t>
                  </w:r>
                  <w:r w:rsidRPr="00167737">
                    <w:rPr>
                      <w:b/>
                    </w:rPr>
                    <w:t>CEQ</w:t>
                  </w:r>
                  <w:r>
                    <w:t xml:space="preserve"> service code.</w:t>
                  </w:r>
                </w:p>
                <w:p w:rsidR="006E64D6" w:rsidRDefault="006E64D6" w:rsidP="00A84E27"/>
                <w:p w:rsidR="006E64D6" w:rsidRPr="00D65036" w:rsidRDefault="006E64D6" w:rsidP="00A84E27">
                  <w:r>
                    <w:t xml:space="preserve">Click on </w:t>
                  </w:r>
                  <w:r w:rsidRPr="00167737">
                    <w:rPr>
                      <w:b/>
                    </w:rPr>
                    <w:t>OK</w:t>
                  </w:r>
                  <w:r>
                    <w:t xml:space="preserve"> to save.</w:t>
                  </w:r>
                </w:p>
              </w:txbxContent>
            </v:textbox>
          </v:shape>
        </w:pict>
      </w:r>
      <w:r>
        <w:rPr>
          <w:noProof/>
          <w:lang w:eastAsia="en-NZ"/>
        </w:rPr>
        <w:pict>
          <v:shape id="_x0000_s1055" type="#_x0000_t202" style="position:absolute;left:0;text-align:left;margin-left:503.1pt;margin-top:30.2pt;width:117.5pt;height:21.75pt;z-index:251680768" stroked="f">
            <v:textbox style="mso-next-textbox:#_x0000_s1055">
              <w:txbxContent>
                <w:p w:rsidR="006E64D6" w:rsidRPr="00520E29" w:rsidRDefault="006E64D6" w:rsidP="00A84E27">
                  <w:pPr>
                    <w:rPr>
                      <w:sz w:val="22"/>
                      <w:szCs w:val="22"/>
                    </w:rPr>
                  </w:pPr>
                  <w:r w:rsidRPr="00520E29">
                    <w:rPr>
                      <w:sz w:val="22"/>
                      <w:szCs w:val="22"/>
                    </w:rPr>
                    <w:t>Is the patient a casual?</w:t>
                  </w:r>
                </w:p>
              </w:txbxContent>
            </v:textbox>
          </v:shape>
        </w:pict>
      </w:r>
      <w:r>
        <w:rPr>
          <w:noProof/>
          <w:lang w:eastAsia="en-NZ"/>
        </w:rPr>
        <w:pict>
          <v:shape id="_x0000_s1053" type="#_x0000_t202" style="position:absolute;left:0;text-align:left;margin-left:28.85pt;margin-top:76pt;width:34.5pt;height:22.5pt;z-index:251678720" stroked="f">
            <v:textbox style="mso-next-textbox:#_x0000_s1053">
              <w:txbxContent>
                <w:p w:rsidR="006E64D6" w:rsidRPr="00167737" w:rsidRDefault="006E64D6" w:rsidP="00A84E27">
                  <w:pPr>
                    <w:jc w:val="center"/>
                    <w:rPr>
                      <w:b/>
                      <w:sz w:val="22"/>
                      <w:szCs w:val="22"/>
                    </w:rPr>
                  </w:pPr>
                  <w:r w:rsidRPr="00167737">
                    <w:rPr>
                      <w:b/>
                      <w:sz w:val="22"/>
                      <w:szCs w:val="22"/>
                    </w:rPr>
                    <w:t>YES</w:t>
                  </w:r>
                </w:p>
              </w:txbxContent>
            </v:textbox>
          </v:shape>
        </w:pict>
      </w:r>
      <w:r>
        <w:rPr>
          <w:noProof/>
          <w:lang w:eastAsia="en-NZ"/>
        </w:rPr>
        <w:pict>
          <v:shape id="_x0000_s1064" type="#_x0000_t32" style="position:absolute;left:0;text-align:left;margin-left:58.85pt;margin-top:53.9pt;width:27.75pt;height:22.1pt;flip:x;z-index:251689984" o:connectortype="straight">
            <v:stroke endarrow="block"/>
          </v:shape>
        </w:pict>
      </w:r>
      <w:r>
        <w:rPr>
          <w:noProof/>
          <w:lang w:eastAsia="en-NZ"/>
        </w:rPr>
        <w:pict>
          <v:shape id="_x0000_s1065" type="#_x0000_t32" style="position:absolute;left:0;text-align:left;margin-left:199.6pt;margin-top:53.7pt;width:34.5pt;height:15.35pt;z-index:251691008" o:connectortype="straight">
            <v:stroke endarrow="block"/>
          </v:shape>
        </w:pict>
      </w:r>
      <w:r>
        <w:rPr>
          <w:noProof/>
          <w:lang w:eastAsia="en-NZ"/>
        </w:rPr>
        <w:pict>
          <v:shape id="_x0000_s1063" type="#_x0000_t32" style="position:absolute;left:0;text-align:left;margin-left:142.1pt;margin-top:30.2pt;width:0;height:4.9pt;z-index:251688960" o:connectortype="straight">
            <v:stroke endarrow="block"/>
          </v:shape>
        </w:pict>
      </w:r>
      <w:r>
        <w:rPr>
          <w:noProof/>
          <w:lang w:eastAsia="en-NZ"/>
        </w:rPr>
        <w:pict>
          <v:shape id="_x0000_s1054" type="#_x0000_t202" style="position:absolute;left:0;text-align:left;margin-left:86.6pt;margin-top:35.65pt;width:132.75pt;height:21.75pt;z-index:251679744" stroked="f">
            <v:textbox style="mso-next-textbox:#_x0000_s1054">
              <w:txbxContent>
                <w:p w:rsidR="006E64D6" w:rsidRPr="00520E29" w:rsidRDefault="006E64D6" w:rsidP="00A84E27">
                  <w:pPr>
                    <w:rPr>
                      <w:sz w:val="22"/>
                      <w:szCs w:val="22"/>
                    </w:rPr>
                  </w:pPr>
                  <w:r w:rsidRPr="00520E29">
                    <w:rPr>
                      <w:sz w:val="22"/>
                      <w:szCs w:val="22"/>
                    </w:rPr>
                    <w:t xml:space="preserve">Is the patient a </w:t>
                  </w:r>
                  <w:r>
                    <w:rPr>
                      <w:sz w:val="22"/>
                      <w:szCs w:val="22"/>
                    </w:rPr>
                    <w:t>C</w:t>
                  </w:r>
                  <w:r w:rsidRPr="00520E29">
                    <w:rPr>
                      <w:sz w:val="22"/>
                      <w:szCs w:val="22"/>
                    </w:rPr>
                    <w:t>asual?</w:t>
                  </w:r>
                </w:p>
              </w:txbxContent>
            </v:textbox>
          </v:shape>
        </w:pict>
      </w:r>
      <w:r>
        <w:rPr>
          <w:noProof/>
          <w:lang w:eastAsia="en-NZ"/>
        </w:rPr>
        <w:pict>
          <v:shape id="_x0000_s1051" type="#_x0000_t202" style="position:absolute;left:0;text-align:left;margin-left:112.1pt;margin-top:8.25pt;width:60.75pt;height:22.5pt;z-index:251676672" filled="f" stroked="f">
            <v:textbox style="mso-next-textbox:#_x0000_s1051">
              <w:txbxContent>
                <w:p w:rsidR="006E64D6" w:rsidRPr="00520E29" w:rsidRDefault="006E64D6" w:rsidP="00A84E27">
                  <w:pPr>
                    <w:jc w:val="center"/>
                    <w:rPr>
                      <w:b/>
                      <w:sz w:val="24"/>
                      <w:szCs w:val="24"/>
                    </w:rPr>
                  </w:pPr>
                  <w:r w:rsidRPr="00520E29">
                    <w:rPr>
                      <w:b/>
                      <w:sz w:val="24"/>
                      <w:szCs w:val="24"/>
                    </w:rPr>
                    <w:t>YES</w:t>
                  </w:r>
                </w:p>
              </w:txbxContent>
            </v:textbox>
          </v:shape>
        </w:pict>
      </w:r>
      <w:r>
        <w:rPr>
          <w:noProof/>
          <w:lang w:eastAsia="en-NZ"/>
        </w:rPr>
        <w:pict>
          <v:shape id="_x0000_s1067" type="#_x0000_t32" style="position:absolute;left:0;text-align:left;margin-left:252.35pt;margin-top:98.9pt;width:0;height:15pt;z-index:251693056" o:connectortype="straight">
            <v:stroke endarrow="block"/>
          </v:shape>
        </w:pict>
      </w:r>
      <w:r>
        <w:rPr>
          <w:noProof/>
          <w:lang w:eastAsia="en-NZ"/>
        </w:rPr>
        <w:pict>
          <v:shape id="_x0000_s1056" type="#_x0000_t202" style="position:absolute;left:0;text-align:left;margin-left:234.1pt;margin-top:69.05pt;width:34.5pt;height:22.5pt;z-index:251681792" stroked="f">
            <v:textbox style="mso-next-textbox:#_x0000_s1056">
              <w:txbxContent>
                <w:p w:rsidR="006E64D6" w:rsidRPr="00167737" w:rsidRDefault="006E64D6" w:rsidP="00A84E27">
                  <w:pPr>
                    <w:jc w:val="center"/>
                    <w:rPr>
                      <w:b/>
                      <w:sz w:val="22"/>
                      <w:szCs w:val="22"/>
                    </w:rPr>
                  </w:pPr>
                  <w:r w:rsidRPr="00167737">
                    <w:rPr>
                      <w:b/>
                      <w:sz w:val="22"/>
                      <w:szCs w:val="22"/>
                    </w:rPr>
                    <w:t>NO</w:t>
                  </w:r>
                </w:p>
              </w:txbxContent>
            </v:textbox>
          </v:shape>
        </w:pict>
      </w:r>
      <w:r>
        <w:rPr>
          <w:noProof/>
          <w:lang w:eastAsia="en-NZ"/>
        </w:rPr>
        <w:pict>
          <v:shape id="_x0000_s1057" type="#_x0000_t202" style="position:absolute;left:0;text-align:left;margin-left:422pt;margin-top:71.05pt;width:34.5pt;height:22.5pt;z-index:251682816" stroked="f">
            <v:textbox style="mso-next-textbox:#_x0000_s1057">
              <w:txbxContent>
                <w:p w:rsidR="006E64D6" w:rsidRPr="00167737" w:rsidRDefault="006E64D6" w:rsidP="00A84E27">
                  <w:pPr>
                    <w:jc w:val="center"/>
                    <w:rPr>
                      <w:b/>
                      <w:sz w:val="22"/>
                      <w:szCs w:val="22"/>
                    </w:rPr>
                  </w:pPr>
                  <w:r w:rsidRPr="00167737">
                    <w:rPr>
                      <w:b/>
                      <w:sz w:val="22"/>
                      <w:szCs w:val="22"/>
                    </w:rPr>
                    <w:t>YES</w:t>
                  </w:r>
                </w:p>
              </w:txbxContent>
            </v:textbox>
          </v:shape>
        </w:pict>
      </w:r>
      <w:r>
        <w:rPr>
          <w:noProof/>
          <w:lang w:eastAsia="en-NZ"/>
        </w:rPr>
        <w:pict>
          <v:shape id="_x0000_s1071" type="#_x0000_t32" style="position:absolute;left:0;text-align:left;margin-left:434.6pt;margin-top:99.25pt;width:0;height:15pt;z-index:251697152" o:connectortype="straight">
            <v:stroke endarrow="block"/>
          </v:shape>
        </w:pict>
      </w:r>
      <w:r>
        <w:rPr>
          <w:noProof/>
          <w:lang w:eastAsia="en-NZ"/>
        </w:rPr>
        <w:pict>
          <v:shape id="_x0000_s1069" type="#_x0000_t32" style="position:absolute;left:0;text-align:left;margin-left:451.35pt;margin-top:46.55pt;width:51.75pt;height:24.5pt;flip:x;z-index:251695104" o:connectortype="straight">
            <v:stroke endarrow="block"/>
          </v:shape>
        </w:pict>
      </w:r>
      <w:r>
        <w:rPr>
          <w:noProof/>
          <w:lang w:eastAsia="en-NZ"/>
        </w:rPr>
        <w:pict>
          <v:shape id="_x0000_s1062" type="#_x0000_t202" style="position:absolute;left:0;text-align:left;margin-left:596.85pt;margin-top:120.55pt;width:142.25pt;height:115.15pt;z-index:251687936">
            <v:textbox style="mso-next-textbox:#_x0000_s1062">
              <w:txbxContent>
                <w:p w:rsidR="006E64D6" w:rsidRDefault="006E64D6" w:rsidP="00A84E27">
                  <w:r w:rsidRPr="00D65036">
                    <w:t>Create a new Invoice</w:t>
                  </w:r>
                  <w:r>
                    <w:t>.</w:t>
                  </w:r>
                </w:p>
                <w:p w:rsidR="006E64D6" w:rsidRPr="00D65036" w:rsidRDefault="006E64D6" w:rsidP="00A84E27"/>
                <w:p w:rsidR="006E64D6" w:rsidRDefault="006E64D6" w:rsidP="00A84E27">
                  <w:pPr>
                    <w:jc w:val="left"/>
                  </w:pPr>
                  <w:r>
                    <w:t>Do not touch the account holder.  Leave it as is.</w:t>
                  </w:r>
                </w:p>
                <w:p w:rsidR="006E64D6" w:rsidRDefault="006E64D6" w:rsidP="00A84E27"/>
                <w:p w:rsidR="006E64D6" w:rsidRDefault="006E64D6" w:rsidP="00A84E27">
                  <w:r>
                    <w:t xml:space="preserve">Enter the </w:t>
                  </w:r>
                  <w:r w:rsidRPr="00167737">
                    <w:rPr>
                      <w:b/>
                    </w:rPr>
                    <w:t>C</w:t>
                  </w:r>
                  <w:r>
                    <w:t xml:space="preserve"> for consultation.</w:t>
                  </w:r>
                </w:p>
                <w:p w:rsidR="006E64D6" w:rsidRDefault="006E64D6" w:rsidP="00A84E27"/>
                <w:p w:rsidR="006E64D6" w:rsidRPr="00D65036" w:rsidRDefault="006E64D6" w:rsidP="00A84E27">
                  <w:r>
                    <w:t xml:space="preserve">Click on </w:t>
                  </w:r>
                  <w:r w:rsidRPr="00167737">
                    <w:rPr>
                      <w:b/>
                    </w:rPr>
                    <w:t>OK</w:t>
                  </w:r>
                  <w:r>
                    <w:t xml:space="preserve"> to save.</w:t>
                  </w:r>
                </w:p>
              </w:txbxContent>
            </v:textbox>
          </v:shape>
        </w:pict>
      </w:r>
      <w:r>
        <w:rPr>
          <w:noProof/>
          <w:lang w:eastAsia="en-NZ"/>
        </w:rPr>
        <w:pict>
          <v:shape id="_x0000_s1068" type="#_x0000_t32" style="position:absolute;left:0;text-align:left;margin-left:553.1pt;margin-top:20.3pt;width:0;height:4.9pt;z-index:251694080" o:connectortype="straight">
            <v:stroke endarrow="block"/>
          </v:shape>
        </w:pict>
      </w:r>
      <w:r>
        <w:rPr>
          <w:noProof/>
          <w:lang w:eastAsia="en-NZ"/>
        </w:rPr>
        <w:pict>
          <v:shape id="_x0000_s1059" type="#_x0000_t202" style="position:absolute;left:0;text-align:left;margin-left:-28.15pt;margin-top:115.75pt;width:170.25pt;height:174pt;z-index:251684864">
            <v:textbox style="mso-next-textbox:#_x0000_s1059">
              <w:txbxContent>
                <w:p w:rsidR="006E64D6" w:rsidRPr="00D65036" w:rsidRDefault="006E64D6" w:rsidP="00A84E27">
                  <w:r w:rsidRPr="00D65036">
                    <w:t>Create a new Invoice</w:t>
                  </w:r>
                  <w:r>
                    <w:t>.</w:t>
                  </w:r>
                </w:p>
                <w:p w:rsidR="006E64D6" w:rsidRDefault="006E64D6" w:rsidP="00A84E27"/>
                <w:p w:rsidR="006E64D6" w:rsidRDefault="006E64D6" w:rsidP="00A84E27">
                  <w:r>
                    <w:t xml:space="preserve">Change the Account holder to </w:t>
                  </w:r>
                  <w:r w:rsidRPr="00167737">
                    <w:rPr>
                      <w:b/>
                    </w:rPr>
                    <w:t>QUAKE</w:t>
                  </w:r>
                </w:p>
                <w:p w:rsidR="006E64D6" w:rsidRDefault="006E64D6" w:rsidP="00A84E27"/>
                <w:p w:rsidR="006E64D6" w:rsidRDefault="006E64D6" w:rsidP="00A84E27">
                  <w:pPr>
                    <w:jc w:val="left"/>
                  </w:pPr>
                  <w:r>
                    <w:t xml:space="preserve">Enter the </w:t>
                  </w:r>
                  <w:r w:rsidRPr="00167737">
                    <w:rPr>
                      <w:b/>
                    </w:rPr>
                    <w:t>C</w:t>
                  </w:r>
                  <w:r>
                    <w:t xml:space="preserve"> for consultation. </w:t>
                  </w:r>
                  <w:r w:rsidRPr="00167737">
                    <w:rPr>
                      <w:b/>
                    </w:rPr>
                    <w:t xml:space="preserve">Remember to </w:t>
                  </w:r>
                  <w:r w:rsidRPr="00167737">
                    <w:rPr>
                      <w:b/>
                      <w:u w:val="single"/>
                    </w:rPr>
                    <w:t>change the fee</w:t>
                  </w:r>
                  <w:r w:rsidRPr="00167737">
                    <w:rPr>
                      <w:b/>
                    </w:rPr>
                    <w:t xml:space="preserve"> to the amount you would charge a </w:t>
                  </w:r>
                  <w:proofErr w:type="spellStart"/>
                  <w:r w:rsidRPr="00167737">
                    <w:rPr>
                      <w:b/>
                    </w:rPr>
                    <w:t>capitated</w:t>
                  </w:r>
                  <w:proofErr w:type="spellEnd"/>
                  <w:r w:rsidRPr="00167737">
                    <w:rPr>
                      <w:b/>
                    </w:rPr>
                    <w:t xml:space="preserve"> pt for the same service and GMS code.</w:t>
                  </w:r>
                </w:p>
                <w:p w:rsidR="006E64D6" w:rsidRDefault="006E64D6" w:rsidP="00A84E27"/>
                <w:p w:rsidR="006E64D6" w:rsidRDefault="006E64D6" w:rsidP="00A84E27">
                  <w:r>
                    <w:t xml:space="preserve">Enter the </w:t>
                  </w:r>
                  <w:r w:rsidRPr="00167737">
                    <w:rPr>
                      <w:b/>
                    </w:rPr>
                    <w:t>CEQ</w:t>
                  </w:r>
                  <w:r>
                    <w:t xml:space="preserve"> service code.</w:t>
                  </w:r>
                </w:p>
                <w:p w:rsidR="006E64D6" w:rsidRDefault="006E64D6" w:rsidP="00A84E27"/>
                <w:p w:rsidR="006E64D6" w:rsidRPr="00D65036" w:rsidRDefault="006E64D6" w:rsidP="00A84E27">
                  <w:r>
                    <w:t xml:space="preserve">Click on </w:t>
                  </w:r>
                  <w:r w:rsidRPr="00167737">
                    <w:rPr>
                      <w:b/>
                    </w:rPr>
                    <w:t>OK</w:t>
                  </w:r>
                  <w:r>
                    <w:t xml:space="preserve"> to save.</w:t>
                  </w:r>
                </w:p>
              </w:txbxContent>
            </v:textbox>
          </v:shape>
        </w:pict>
      </w:r>
    </w:p>
    <w:p w:rsidR="0077363A" w:rsidRDefault="00E73E16" w:rsidP="00E73E16">
      <w:pPr>
        <w:pStyle w:val="BodyText"/>
        <w:spacing w:before="0" w:after="0"/>
        <w:ind w:left="0"/>
        <w:jc w:val="right"/>
        <w:rPr>
          <w:b/>
          <w:sz w:val="22"/>
          <w:szCs w:val="22"/>
        </w:rPr>
      </w:pPr>
      <w:r w:rsidRPr="00E73E16">
        <w:rPr>
          <w:b/>
          <w:sz w:val="22"/>
          <w:szCs w:val="22"/>
        </w:rPr>
        <w:lastRenderedPageBreak/>
        <w:t xml:space="preserve">APPENDIX </w:t>
      </w:r>
      <w:r w:rsidR="002A3F54">
        <w:rPr>
          <w:b/>
          <w:sz w:val="22"/>
          <w:szCs w:val="22"/>
        </w:rPr>
        <w:t>2</w:t>
      </w:r>
    </w:p>
    <w:p w:rsidR="00E73E16" w:rsidRDefault="00E73E16" w:rsidP="00E73E16">
      <w:pPr>
        <w:pStyle w:val="BodyText"/>
        <w:spacing w:before="0" w:after="0"/>
        <w:ind w:left="0"/>
        <w:jc w:val="left"/>
        <w:rPr>
          <w:sz w:val="22"/>
          <w:szCs w:val="22"/>
        </w:rPr>
      </w:pPr>
    </w:p>
    <w:p w:rsidR="00696EA0" w:rsidRPr="00696EA0" w:rsidRDefault="00696EA0" w:rsidP="00696EA0">
      <w:pPr>
        <w:jc w:val="center"/>
        <w:rPr>
          <w:b/>
          <w:caps/>
          <w:sz w:val="28"/>
          <w:szCs w:val="28"/>
          <w:lang w:val="en-US"/>
        </w:rPr>
      </w:pPr>
      <w:r w:rsidRPr="00696EA0">
        <w:rPr>
          <w:b/>
          <w:caps/>
          <w:sz w:val="28"/>
          <w:szCs w:val="28"/>
          <w:lang w:val="en-US"/>
        </w:rPr>
        <w:t>ADMS Scenarios</w:t>
      </w:r>
    </w:p>
    <w:p w:rsidR="00696EA0" w:rsidRPr="00852EA8" w:rsidRDefault="00696EA0" w:rsidP="00696EA0">
      <w:pPr>
        <w:rPr>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 xml:space="preserve">Five </w:t>
      </w:r>
      <w:proofErr w:type="gramStart"/>
      <w:r w:rsidRPr="00852EA8">
        <w:rPr>
          <w:sz w:val="22"/>
          <w:szCs w:val="22"/>
          <w:lang w:val="en-US"/>
        </w:rPr>
        <w:t>year</w:t>
      </w:r>
      <w:proofErr w:type="gramEnd"/>
      <w:r w:rsidRPr="00852EA8">
        <w:rPr>
          <w:sz w:val="22"/>
          <w:szCs w:val="22"/>
          <w:lang w:val="en-US"/>
        </w:rPr>
        <w:t xml:space="preserve"> old with recurrent asthma who presents with an exacerbation. ADMS can cover the initial attendance and follow up, including phone calls to check progress.</w:t>
      </w:r>
    </w:p>
    <w:p w:rsidR="00696EA0" w:rsidRPr="00852EA8" w:rsidRDefault="00696EA0" w:rsidP="00696EA0">
      <w:pPr>
        <w:jc w:val="left"/>
        <w:rPr>
          <w:i/>
          <w:sz w:val="22"/>
          <w:szCs w:val="22"/>
          <w:lang w:val="en-US"/>
        </w:rPr>
      </w:pPr>
      <w:r w:rsidRPr="00852EA8">
        <w:rPr>
          <w:i/>
          <w:sz w:val="22"/>
          <w:szCs w:val="22"/>
          <w:lang w:val="en-US"/>
        </w:rPr>
        <w:t xml:space="preserve">Logic:  Parents need to know that they can attend the doctor with conditions that risk attendance at ED or hospital admission. </w:t>
      </w:r>
    </w:p>
    <w:p w:rsidR="00696EA0" w:rsidRPr="00852EA8" w:rsidRDefault="00696EA0" w:rsidP="00696EA0">
      <w:pPr>
        <w:jc w:val="left"/>
        <w:rPr>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 xml:space="preserve">Eighteen year old with Type 1 diabetes who has lost his meter in the quake presents with a urinary tract infection. ADMS can cover the initial attendance, provision of new meter and education around it, treatment of the infection and follow up. </w:t>
      </w:r>
    </w:p>
    <w:p w:rsidR="00696EA0" w:rsidRPr="00852EA8" w:rsidRDefault="00696EA0" w:rsidP="00696EA0">
      <w:pPr>
        <w:jc w:val="left"/>
        <w:rPr>
          <w:i/>
          <w:sz w:val="22"/>
          <w:szCs w:val="22"/>
          <w:lang w:val="en-US"/>
        </w:rPr>
      </w:pPr>
      <w:r w:rsidRPr="00852EA8">
        <w:rPr>
          <w:i/>
          <w:sz w:val="22"/>
          <w:szCs w:val="22"/>
          <w:lang w:val="en-US"/>
        </w:rPr>
        <w:t xml:space="preserve">Logic: </w:t>
      </w:r>
      <w:r>
        <w:rPr>
          <w:i/>
          <w:sz w:val="22"/>
          <w:szCs w:val="22"/>
          <w:lang w:val="en-US"/>
        </w:rPr>
        <w:t xml:space="preserve"> </w:t>
      </w:r>
      <w:r w:rsidRPr="00852EA8">
        <w:rPr>
          <w:i/>
          <w:sz w:val="22"/>
          <w:szCs w:val="22"/>
          <w:lang w:val="en-US"/>
        </w:rPr>
        <w:t xml:space="preserve">This person is at high risk of requiring hospital attendance, and cost is a significant barrier to presenting in primary care. </w:t>
      </w:r>
    </w:p>
    <w:p w:rsidR="00696EA0" w:rsidRPr="00852EA8" w:rsidRDefault="00696EA0" w:rsidP="00696EA0">
      <w:pPr>
        <w:jc w:val="left"/>
        <w:rPr>
          <w:i/>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 xml:space="preserve">Twenty-five year old accountant attends with flu-like symptoms to their enrolled practice. They have not been affected by the earthquake. They will pay the normal fees. </w:t>
      </w:r>
    </w:p>
    <w:p w:rsidR="00696EA0" w:rsidRPr="00852EA8" w:rsidRDefault="00696EA0" w:rsidP="00696EA0">
      <w:pPr>
        <w:jc w:val="left"/>
        <w:rPr>
          <w:i/>
          <w:sz w:val="22"/>
          <w:szCs w:val="22"/>
          <w:lang w:val="en-US"/>
        </w:rPr>
      </w:pPr>
      <w:r w:rsidRPr="00852EA8">
        <w:rPr>
          <w:i/>
          <w:sz w:val="22"/>
          <w:szCs w:val="22"/>
          <w:lang w:val="en-US"/>
        </w:rPr>
        <w:t xml:space="preserve">Logic:  This person is not at high risk of hospital attendance and does not have high health needs. </w:t>
      </w:r>
    </w:p>
    <w:p w:rsidR="00696EA0" w:rsidRPr="00852EA8" w:rsidRDefault="00696EA0" w:rsidP="00696EA0">
      <w:pPr>
        <w:jc w:val="left"/>
        <w:rPr>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Seventy-eight year old with heart failure and COPD attends for regular medication and review. She has not been severely affected by the quake. This person has a Disability Allowance and Care</w:t>
      </w:r>
      <w:r>
        <w:rPr>
          <w:sz w:val="22"/>
          <w:szCs w:val="22"/>
          <w:lang w:val="en-US"/>
        </w:rPr>
        <w:t xml:space="preserve"> P</w:t>
      </w:r>
      <w:r w:rsidRPr="00852EA8">
        <w:rPr>
          <w:sz w:val="22"/>
          <w:szCs w:val="22"/>
          <w:lang w:val="en-US"/>
        </w:rPr>
        <w:t xml:space="preserve">lus funding. She will pay the normal fees. </w:t>
      </w:r>
    </w:p>
    <w:p w:rsidR="00696EA0" w:rsidRPr="00852EA8" w:rsidRDefault="00696EA0" w:rsidP="00696EA0">
      <w:pPr>
        <w:jc w:val="left"/>
        <w:rPr>
          <w:i/>
          <w:sz w:val="22"/>
          <w:szCs w:val="22"/>
          <w:lang w:val="en-US"/>
        </w:rPr>
      </w:pPr>
      <w:r w:rsidRPr="00852EA8">
        <w:rPr>
          <w:i/>
          <w:sz w:val="22"/>
          <w:szCs w:val="22"/>
          <w:lang w:val="en-US"/>
        </w:rPr>
        <w:t xml:space="preserve">Logic:  There is no acute illness, and she is not at increased risk of hospital attendance. </w:t>
      </w:r>
    </w:p>
    <w:p w:rsidR="00696EA0" w:rsidRPr="00852EA8" w:rsidRDefault="00696EA0" w:rsidP="00696EA0">
      <w:pPr>
        <w:jc w:val="left"/>
        <w:rPr>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 xml:space="preserve">Seventy-eight year old with heart failure and COPD attends with swollen ankles and mild breathlessness. She has not been severely affected by the quake. ADMS can cover the initial attendance and follow up, including phone calls to check progress. </w:t>
      </w:r>
    </w:p>
    <w:p w:rsidR="00696EA0" w:rsidRPr="00852EA8" w:rsidRDefault="00696EA0" w:rsidP="00696EA0">
      <w:pPr>
        <w:jc w:val="left"/>
        <w:rPr>
          <w:i/>
          <w:sz w:val="22"/>
          <w:szCs w:val="22"/>
          <w:lang w:val="en-US"/>
        </w:rPr>
      </w:pPr>
      <w:r w:rsidRPr="00852EA8">
        <w:rPr>
          <w:i/>
          <w:sz w:val="22"/>
          <w:szCs w:val="22"/>
          <w:lang w:val="en-US"/>
        </w:rPr>
        <w:t xml:space="preserve">Logic:  There is an acute illness, and she is at risk of hospital attendance. </w:t>
      </w:r>
    </w:p>
    <w:p w:rsidR="00696EA0" w:rsidRPr="00852EA8" w:rsidRDefault="00696EA0" w:rsidP="00696EA0">
      <w:pPr>
        <w:jc w:val="left"/>
        <w:rPr>
          <w:sz w:val="22"/>
          <w:szCs w:val="22"/>
          <w:lang w:val="en-US"/>
        </w:rPr>
      </w:pPr>
    </w:p>
    <w:p w:rsidR="00696EA0" w:rsidRPr="00852EA8" w:rsidRDefault="00696EA0" w:rsidP="00696EA0">
      <w:pPr>
        <w:spacing w:after="60"/>
        <w:jc w:val="left"/>
        <w:rPr>
          <w:sz w:val="22"/>
          <w:szCs w:val="22"/>
          <w:lang w:val="en-US"/>
        </w:rPr>
      </w:pPr>
      <w:r w:rsidRPr="00852EA8">
        <w:rPr>
          <w:sz w:val="22"/>
          <w:szCs w:val="22"/>
          <w:lang w:val="en-US"/>
        </w:rPr>
        <w:t xml:space="preserve">Seventy-eight year old with heart failure and COPD attends for regular medication and review. She has severely affected by the quake, in that her house has been severely damaged, and she is very anxious. ADMS can cover the initial attendance, pharmacy $3.00 fee and follow up, including phone calls to check progress. </w:t>
      </w:r>
    </w:p>
    <w:p w:rsidR="00696EA0" w:rsidRPr="00852EA8" w:rsidRDefault="00696EA0" w:rsidP="00696EA0">
      <w:pPr>
        <w:jc w:val="left"/>
        <w:rPr>
          <w:i/>
          <w:sz w:val="22"/>
          <w:szCs w:val="22"/>
          <w:lang w:val="en-US"/>
        </w:rPr>
      </w:pPr>
      <w:r w:rsidRPr="00852EA8">
        <w:rPr>
          <w:i/>
          <w:sz w:val="22"/>
          <w:szCs w:val="22"/>
          <w:lang w:val="en-US"/>
        </w:rPr>
        <w:t xml:space="preserve">Logic:  Although there is no acute illness, she is at increased risk of hospital attendance if not appropriately managed in primary care. </w:t>
      </w:r>
    </w:p>
    <w:p w:rsidR="00696EA0" w:rsidRPr="00852EA8" w:rsidRDefault="00696EA0" w:rsidP="00696EA0">
      <w:pPr>
        <w:jc w:val="left"/>
        <w:rPr>
          <w:sz w:val="22"/>
          <w:szCs w:val="22"/>
          <w:lang w:val="en-US"/>
        </w:rPr>
      </w:pPr>
    </w:p>
    <w:p w:rsidR="00696EA0" w:rsidRPr="00852EA8" w:rsidRDefault="00696EA0" w:rsidP="00696EA0">
      <w:pPr>
        <w:spacing w:after="60"/>
        <w:jc w:val="left"/>
        <w:rPr>
          <w:sz w:val="22"/>
          <w:szCs w:val="22"/>
          <w:lang w:val="en-US"/>
        </w:rPr>
      </w:pPr>
      <w:proofErr w:type="gramStart"/>
      <w:r w:rsidRPr="00852EA8">
        <w:rPr>
          <w:sz w:val="22"/>
          <w:szCs w:val="22"/>
          <w:lang w:val="en-US"/>
        </w:rPr>
        <w:t>Sixty-four year old with lung cancer presents to a rural practice as a casual patient with severe pain requiring three consultations for analgesia and palliative care.</w:t>
      </w:r>
      <w:proofErr w:type="gramEnd"/>
      <w:r w:rsidRPr="00852EA8">
        <w:rPr>
          <w:sz w:val="22"/>
          <w:szCs w:val="22"/>
          <w:lang w:val="en-US"/>
        </w:rPr>
        <w:t xml:space="preserve"> ADMS will cover these consultations. </w:t>
      </w:r>
    </w:p>
    <w:p w:rsidR="00696EA0" w:rsidRPr="00E73E16" w:rsidRDefault="00696EA0" w:rsidP="00696EA0">
      <w:pPr>
        <w:pStyle w:val="BodyText"/>
        <w:spacing w:before="0" w:after="0"/>
        <w:ind w:left="0"/>
        <w:jc w:val="left"/>
        <w:rPr>
          <w:sz w:val="22"/>
          <w:szCs w:val="22"/>
        </w:rPr>
      </w:pPr>
      <w:r w:rsidRPr="00852EA8">
        <w:rPr>
          <w:i/>
          <w:sz w:val="22"/>
          <w:szCs w:val="22"/>
          <w:lang w:val="en-US"/>
        </w:rPr>
        <w:t>Logic:  Although not covered by usual PHO palliative care provisions, ADMS will cover these consultations as he is at risk of acute medical admission for pain management.</w:t>
      </w:r>
    </w:p>
    <w:sectPr w:rsidR="00696EA0" w:rsidRPr="00E73E16" w:rsidSect="00615F0A">
      <w:footerReference w:type="default" r:id="rId22"/>
      <w:pgSz w:w="11906" w:h="16838"/>
      <w:pgMar w:top="1418" w:right="1134" w:bottom="1418"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D6" w:rsidRDefault="006E64D6">
      <w:r>
        <w:separator/>
      </w:r>
    </w:p>
  </w:endnote>
  <w:endnote w:type="continuationSeparator" w:id="1">
    <w:p w:rsidR="006E64D6" w:rsidRDefault="006E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F" w:rsidRDefault="00DD2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D6" w:rsidRDefault="006E64D6">
    <w:pPr>
      <w:pStyle w:val="Footer"/>
    </w:pPr>
  </w:p>
  <w:p w:rsidR="006E64D6" w:rsidRPr="00605376" w:rsidRDefault="006E64D6">
    <w:pPr>
      <w:pStyle w:val="Footer"/>
      <w:rPr>
        <w:rFonts w:ascii="Calibri" w:hAnsi="Calibri"/>
      </w:rPr>
    </w:pPr>
    <w:r w:rsidRPr="00605376">
      <w:rPr>
        <w:rFonts w:ascii="Calibri" w:hAnsi="Calibri"/>
      </w:rPr>
      <w:tab/>
      <w:t xml:space="preserve">Page </w:t>
    </w:r>
    <w:r w:rsidR="007326D0" w:rsidRPr="00605376">
      <w:rPr>
        <w:rStyle w:val="PageNumber"/>
        <w:rFonts w:ascii="Calibri" w:hAnsi="Calibri"/>
      </w:rPr>
      <w:fldChar w:fldCharType="begin"/>
    </w:r>
    <w:r w:rsidRPr="00605376">
      <w:rPr>
        <w:rStyle w:val="PageNumber"/>
        <w:rFonts w:ascii="Calibri" w:hAnsi="Calibri"/>
      </w:rPr>
      <w:instrText xml:space="preserve"> PAGE </w:instrText>
    </w:r>
    <w:r w:rsidR="007326D0" w:rsidRPr="00605376">
      <w:rPr>
        <w:rStyle w:val="PageNumber"/>
        <w:rFonts w:ascii="Calibri" w:hAnsi="Calibri"/>
      </w:rPr>
      <w:fldChar w:fldCharType="separate"/>
    </w:r>
    <w:r w:rsidR="005A093D">
      <w:rPr>
        <w:rStyle w:val="PageNumber"/>
        <w:rFonts w:ascii="Calibri" w:hAnsi="Calibri"/>
        <w:noProof/>
      </w:rPr>
      <w:t>3</w:t>
    </w:r>
    <w:r w:rsidR="007326D0" w:rsidRPr="00605376">
      <w:rPr>
        <w:rStyle w:val="PageNumber"/>
        <w:rFonts w:ascii="Calibri" w:hAnsi="Calibri"/>
      </w:rPr>
      <w:fldChar w:fldCharType="end"/>
    </w:r>
    <w:r w:rsidRPr="00605376">
      <w:rPr>
        <w:rStyle w:val="PageNumber"/>
        <w:rFonts w:ascii="Calibri" w:hAnsi="Calibri"/>
      </w:rPr>
      <w:t xml:space="preserve"> of </w:t>
    </w:r>
    <w:r w:rsidR="007326D0" w:rsidRPr="00605376">
      <w:rPr>
        <w:rStyle w:val="PageNumber"/>
        <w:rFonts w:ascii="Calibri" w:hAnsi="Calibri"/>
      </w:rPr>
      <w:fldChar w:fldCharType="begin"/>
    </w:r>
    <w:r w:rsidRPr="00605376">
      <w:rPr>
        <w:rStyle w:val="PageNumber"/>
        <w:rFonts w:ascii="Calibri" w:hAnsi="Calibri"/>
      </w:rPr>
      <w:instrText xml:space="preserve"> NUMPAGES </w:instrText>
    </w:r>
    <w:r w:rsidR="007326D0" w:rsidRPr="00605376">
      <w:rPr>
        <w:rStyle w:val="PageNumber"/>
        <w:rFonts w:ascii="Calibri" w:hAnsi="Calibri"/>
      </w:rPr>
      <w:fldChar w:fldCharType="separate"/>
    </w:r>
    <w:r w:rsidR="005A093D">
      <w:rPr>
        <w:rStyle w:val="PageNumber"/>
        <w:rFonts w:ascii="Calibri" w:hAnsi="Calibri"/>
        <w:noProof/>
      </w:rPr>
      <w:t>6</w:t>
    </w:r>
    <w:r w:rsidR="007326D0" w:rsidRPr="00605376">
      <w:rPr>
        <w:rStyle w:val="PageNumber"/>
        <w:rFonts w:ascii="Calibri" w:hAnsi="Calibr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F" w:rsidRDefault="00DD27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D6" w:rsidRPr="00397ECC" w:rsidRDefault="006E64D6" w:rsidP="00DD275F">
    <w:pPr>
      <w:pStyle w:val="Footer"/>
      <w:tabs>
        <w:tab w:val="right" w:pos="8931"/>
      </w:tabs>
      <w:jc w:val="right"/>
    </w:pPr>
    <w:r w:rsidRPr="00397ECC">
      <w:t xml:space="preserve">Page </w:t>
    </w:r>
    <w:fldSimple w:instr=" PAGE ">
      <w:r w:rsidR="005A093D">
        <w:rPr>
          <w:noProof/>
        </w:rPr>
        <w:t>5</w:t>
      </w:r>
    </w:fldSimple>
    <w:r w:rsidRPr="00397ECC">
      <w:t xml:space="preserve"> of </w:t>
    </w:r>
    <w:fldSimple w:instr=" NUMPAGES ">
      <w:r w:rsidR="005A093D">
        <w:rPr>
          <w:noProof/>
        </w:rPr>
        <w:t>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D6" w:rsidRDefault="006E64D6">
    <w:pPr>
      <w:pStyle w:val="Footer"/>
    </w:pPr>
  </w:p>
  <w:p w:rsidR="006E64D6" w:rsidRPr="00605376" w:rsidRDefault="006E64D6">
    <w:pPr>
      <w:pStyle w:val="Footer"/>
      <w:rPr>
        <w:rFonts w:ascii="Calibri" w:hAnsi="Calibri"/>
      </w:rPr>
    </w:pPr>
    <w:r w:rsidRPr="00605376">
      <w:rPr>
        <w:rFonts w:ascii="Calibri" w:hAnsi="Calibri"/>
      </w:rPr>
      <w:tab/>
      <w:t xml:space="preserve">Page </w:t>
    </w:r>
    <w:r w:rsidR="007326D0" w:rsidRPr="00605376">
      <w:rPr>
        <w:rStyle w:val="PageNumber"/>
        <w:rFonts w:ascii="Calibri" w:hAnsi="Calibri"/>
      </w:rPr>
      <w:fldChar w:fldCharType="begin"/>
    </w:r>
    <w:r w:rsidRPr="00605376">
      <w:rPr>
        <w:rStyle w:val="PageNumber"/>
        <w:rFonts w:ascii="Calibri" w:hAnsi="Calibri"/>
      </w:rPr>
      <w:instrText xml:space="preserve"> PAGE </w:instrText>
    </w:r>
    <w:r w:rsidR="007326D0" w:rsidRPr="00605376">
      <w:rPr>
        <w:rStyle w:val="PageNumber"/>
        <w:rFonts w:ascii="Calibri" w:hAnsi="Calibri"/>
      </w:rPr>
      <w:fldChar w:fldCharType="separate"/>
    </w:r>
    <w:r w:rsidR="005A093D">
      <w:rPr>
        <w:rStyle w:val="PageNumber"/>
        <w:rFonts w:ascii="Calibri" w:hAnsi="Calibri"/>
        <w:noProof/>
      </w:rPr>
      <w:t>6</w:t>
    </w:r>
    <w:r w:rsidR="007326D0" w:rsidRPr="00605376">
      <w:rPr>
        <w:rStyle w:val="PageNumber"/>
        <w:rFonts w:ascii="Calibri" w:hAnsi="Calibri"/>
      </w:rPr>
      <w:fldChar w:fldCharType="end"/>
    </w:r>
    <w:r w:rsidRPr="00605376">
      <w:rPr>
        <w:rStyle w:val="PageNumber"/>
        <w:rFonts w:ascii="Calibri" w:hAnsi="Calibri"/>
      </w:rPr>
      <w:t xml:space="preserve"> of </w:t>
    </w:r>
    <w:r w:rsidR="007326D0" w:rsidRPr="00605376">
      <w:rPr>
        <w:rStyle w:val="PageNumber"/>
        <w:rFonts w:ascii="Calibri" w:hAnsi="Calibri"/>
      </w:rPr>
      <w:fldChar w:fldCharType="begin"/>
    </w:r>
    <w:r w:rsidRPr="00605376">
      <w:rPr>
        <w:rStyle w:val="PageNumber"/>
        <w:rFonts w:ascii="Calibri" w:hAnsi="Calibri"/>
      </w:rPr>
      <w:instrText xml:space="preserve"> NUMPAGES </w:instrText>
    </w:r>
    <w:r w:rsidR="007326D0" w:rsidRPr="00605376">
      <w:rPr>
        <w:rStyle w:val="PageNumber"/>
        <w:rFonts w:ascii="Calibri" w:hAnsi="Calibri"/>
      </w:rPr>
      <w:fldChar w:fldCharType="separate"/>
    </w:r>
    <w:r w:rsidR="005A093D">
      <w:rPr>
        <w:rStyle w:val="PageNumber"/>
        <w:rFonts w:ascii="Calibri" w:hAnsi="Calibri"/>
        <w:noProof/>
      </w:rPr>
      <w:t>6</w:t>
    </w:r>
    <w:r w:rsidR="007326D0" w:rsidRPr="00605376">
      <w:rPr>
        <w:rStyle w:val="PageNumbe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D6" w:rsidRDefault="006E64D6">
      <w:r>
        <w:separator/>
      </w:r>
    </w:p>
  </w:footnote>
  <w:footnote w:type="continuationSeparator" w:id="1">
    <w:p w:rsidR="006E64D6" w:rsidRDefault="006E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F" w:rsidRDefault="00DD2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F" w:rsidRDefault="00DD2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F" w:rsidRDefault="00DD2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BC2"/>
    <w:multiLevelType w:val="hybridMultilevel"/>
    <w:tmpl w:val="497CA7AE"/>
    <w:lvl w:ilvl="0" w:tplc="D9A66520">
      <w:start w:val="1"/>
      <w:numFmt w:val="decimal"/>
      <w:pStyle w:val="Num-List"/>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nsid w:val="152B4107"/>
    <w:multiLevelType w:val="multilevel"/>
    <w:tmpl w:val="405439D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94B10FB"/>
    <w:multiLevelType w:val="hybridMultilevel"/>
    <w:tmpl w:val="63B81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AA1FCD"/>
    <w:multiLevelType w:val="hybridMultilevel"/>
    <w:tmpl w:val="150A8E0C"/>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AE716F7"/>
    <w:multiLevelType w:val="hybridMultilevel"/>
    <w:tmpl w:val="5AD63F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F656F17"/>
    <w:multiLevelType w:val="hybridMultilevel"/>
    <w:tmpl w:val="A18C209E"/>
    <w:lvl w:ilvl="0" w:tplc="1409000F">
      <w:start w:val="1"/>
      <w:numFmt w:val="decimal"/>
      <w:lvlText w:val="%1."/>
      <w:lvlJc w:val="left"/>
      <w:pPr>
        <w:ind w:left="106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
    <w:nsid w:val="33295D99"/>
    <w:multiLevelType w:val="singleLevel"/>
    <w:tmpl w:val="9438C47A"/>
    <w:lvl w:ilvl="0">
      <w:start w:val="1"/>
      <w:numFmt w:val="bullet"/>
      <w:pStyle w:val="Bullet1"/>
      <w:lvlText w:val=""/>
      <w:lvlJc w:val="left"/>
      <w:pPr>
        <w:tabs>
          <w:tab w:val="num" w:pos="425"/>
        </w:tabs>
        <w:ind w:left="425" w:hanging="425"/>
      </w:pPr>
      <w:rPr>
        <w:rFonts w:ascii="Wingdings" w:hAnsi="Wingdings" w:hint="default"/>
        <w:caps w:val="0"/>
        <w:sz w:val="18"/>
      </w:rPr>
    </w:lvl>
  </w:abstractNum>
  <w:abstractNum w:abstractNumId="7">
    <w:nsid w:val="40291B89"/>
    <w:multiLevelType w:val="hybridMultilevel"/>
    <w:tmpl w:val="FBD85286"/>
    <w:lvl w:ilvl="0" w:tplc="CE4029CA">
      <w:start w:val="1"/>
      <w:numFmt w:val="bullet"/>
      <w:pStyle w:val="Bullet2"/>
      <w:lvlText w:val=""/>
      <w:lvlJc w:val="left"/>
      <w:pPr>
        <w:tabs>
          <w:tab w:val="num" w:pos="2628"/>
        </w:tabs>
        <w:ind w:left="2552" w:hanging="284"/>
      </w:pPr>
      <w:rPr>
        <w:rFonts w:ascii="Symbol" w:hAnsi="Symbol" w:hint="default"/>
        <w:sz w:val="18"/>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nsid w:val="62330559"/>
    <w:multiLevelType w:val="hybridMultilevel"/>
    <w:tmpl w:val="D16C9460"/>
    <w:lvl w:ilvl="0" w:tplc="D52468AC">
      <w:start w:val="1"/>
      <w:numFmt w:val="decimal"/>
      <w:lvlText w:val="%1."/>
      <w:lvlJc w:val="left"/>
      <w:pPr>
        <w:tabs>
          <w:tab w:val="num" w:pos="397"/>
        </w:tabs>
        <w:ind w:left="397" w:hanging="397"/>
      </w:pPr>
      <w:rPr>
        <w:rFonts w:ascii="Arial" w:hAnsi="Arial" w:hint="default"/>
        <w:caps w:val="0"/>
        <w:strike w:val="0"/>
        <w:dstrike w:val="0"/>
        <w:outline w:val="0"/>
        <w:shadow w:val="0"/>
        <w:emboss w:val="0"/>
        <w:imprint w:val="0"/>
        <w:vanish w:val="0"/>
        <w:sz w:val="20"/>
        <w:vertAlign w:val="baseline"/>
      </w:rPr>
    </w:lvl>
    <w:lvl w:ilvl="1" w:tplc="5B50A07C">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2602AD"/>
    <w:multiLevelType w:val="hybridMultilevel"/>
    <w:tmpl w:val="9F6C7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0BF313E"/>
    <w:multiLevelType w:val="hybridMultilevel"/>
    <w:tmpl w:val="8334FB66"/>
    <w:lvl w:ilvl="0" w:tplc="5C84C416">
      <w:start w:val="1"/>
      <w:numFmt w:val="bullet"/>
      <w:lvlText w:val=""/>
      <w:lvlJc w:val="left"/>
      <w:pPr>
        <w:tabs>
          <w:tab w:val="num" w:pos="1069"/>
        </w:tabs>
        <w:ind w:left="284" w:firstLine="425"/>
      </w:pPr>
      <w:rPr>
        <w:rFonts w:ascii="Wingdings" w:hAnsi="Wingdings" w:hint="default"/>
        <w:sz w:val="18"/>
      </w:rPr>
    </w:lvl>
    <w:lvl w:ilvl="1" w:tplc="14090003">
      <w:start w:val="1"/>
      <w:numFmt w:val="decimal"/>
      <w:lvlText w:val="%2."/>
      <w:lvlJc w:val="left"/>
      <w:pPr>
        <w:tabs>
          <w:tab w:val="num" w:pos="1440"/>
        </w:tabs>
        <w:ind w:left="1440" w:hanging="360"/>
      </w:p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nsid w:val="71867D83"/>
    <w:multiLevelType w:val="hybridMultilevel"/>
    <w:tmpl w:val="D884CEA6"/>
    <w:lvl w:ilvl="0" w:tplc="DBAE5584">
      <w:start w:val="1"/>
      <w:numFmt w:val="bullet"/>
      <w:lvlText w:val=""/>
      <w:lvlJc w:val="left"/>
      <w:pPr>
        <w:ind w:left="1429" w:hanging="360"/>
      </w:pPr>
      <w:rPr>
        <w:rFonts w:ascii="Symbol" w:hAnsi="Symbol" w:hint="default"/>
      </w:rPr>
    </w:lvl>
    <w:lvl w:ilvl="1" w:tplc="0409000F"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71BB756E"/>
    <w:multiLevelType w:val="hybridMultilevel"/>
    <w:tmpl w:val="8334FB66"/>
    <w:lvl w:ilvl="0" w:tplc="14090001">
      <w:start w:val="1"/>
      <w:numFmt w:val="bullet"/>
      <w:lvlText w:val=""/>
      <w:lvlJc w:val="left"/>
      <w:pPr>
        <w:tabs>
          <w:tab w:val="num" w:pos="1494"/>
        </w:tabs>
        <w:ind w:left="284" w:firstLine="850"/>
      </w:pPr>
      <w:rPr>
        <w:rFonts w:ascii="Symbol" w:hAnsi="Symbol" w:hint="default"/>
        <w:sz w:val="18"/>
      </w:rPr>
    </w:lvl>
    <w:lvl w:ilvl="1" w:tplc="14090003">
      <w:start w:val="1"/>
      <w:numFmt w:val="decimal"/>
      <w:lvlText w:val="%2."/>
      <w:lvlJc w:val="left"/>
      <w:pPr>
        <w:tabs>
          <w:tab w:val="num" w:pos="1440"/>
        </w:tabs>
        <w:ind w:left="1440" w:hanging="360"/>
      </w:p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nsid w:val="765A223B"/>
    <w:multiLevelType w:val="hybridMultilevel"/>
    <w:tmpl w:val="3CE22CE6"/>
    <w:lvl w:ilvl="0" w:tplc="1DB2B7D4">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7B983F0B"/>
    <w:multiLevelType w:val="hybridMultilevel"/>
    <w:tmpl w:val="2452A6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2"/>
  </w:num>
  <w:num w:numId="6">
    <w:abstractNumId w:val="1"/>
  </w:num>
  <w:num w:numId="7">
    <w:abstractNumId w:val="10"/>
  </w:num>
  <w:num w:numId="8">
    <w:abstractNumId w:val="12"/>
  </w:num>
  <w:num w:numId="9">
    <w:abstractNumId w:val="1"/>
  </w:num>
  <w:num w:numId="10">
    <w:abstractNumId w:val="1"/>
  </w:num>
  <w:num w:numId="11">
    <w:abstractNumId w:val="0"/>
  </w:num>
  <w:num w:numId="12">
    <w:abstractNumId w:val="13"/>
  </w:num>
  <w:num w:numId="13">
    <w:abstractNumId w:val="9"/>
  </w:num>
  <w:num w:numId="14">
    <w:abstractNumId w:val="4"/>
  </w:num>
  <w:num w:numId="15">
    <w:abstractNumId w:val="1"/>
  </w:num>
  <w:num w:numId="16">
    <w:abstractNumId w:val="5"/>
  </w:num>
  <w:num w:numId="17">
    <w:abstractNumId w:val="11"/>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2801"/>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0"/>
    <w:footnote w:id="1"/>
  </w:footnotePr>
  <w:endnotePr>
    <w:endnote w:id="0"/>
    <w:endnote w:id="1"/>
  </w:endnotePr>
  <w:compat/>
  <w:rsids>
    <w:rsidRoot w:val="00092A77"/>
    <w:rsid w:val="00010B71"/>
    <w:rsid w:val="000328AB"/>
    <w:rsid w:val="00041EA4"/>
    <w:rsid w:val="00051E9A"/>
    <w:rsid w:val="00061EEA"/>
    <w:rsid w:val="00070817"/>
    <w:rsid w:val="00092A77"/>
    <w:rsid w:val="000B40D5"/>
    <w:rsid w:val="000B4389"/>
    <w:rsid w:val="000C7CFD"/>
    <w:rsid w:val="000E16A2"/>
    <w:rsid w:val="00115217"/>
    <w:rsid w:val="00140B22"/>
    <w:rsid w:val="00152449"/>
    <w:rsid w:val="00187C20"/>
    <w:rsid w:val="00196ECF"/>
    <w:rsid w:val="001C10F6"/>
    <w:rsid w:val="001C2D83"/>
    <w:rsid w:val="001E6560"/>
    <w:rsid w:val="001F6B0A"/>
    <w:rsid w:val="001F7D17"/>
    <w:rsid w:val="002162A2"/>
    <w:rsid w:val="002341A6"/>
    <w:rsid w:val="002426D1"/>
    <w:rsid w:val="00253231"/>
    <w:rsid w:val="00277C15"/>
    <w:rsid w:val="002941A5"/>
    <w:rsid w:val="00297C03"/>
    <w:rsid w:val="002A3F54"/>
    <w:rsid w:val="002A57A4"/>
    <w:rsid w:val="002B7699"/>
    <w:rsid w:val="002C2846"/>
    <w:rsid w:val="00336A9E"/>
    <w:rsid w:val="0033712F"/>
    <w:rsid w:val="00360ECA"/>
    <w:rsid w:val="00362EE6"/>
    <w:rsid w:val="00370425"/>
    <w:rsid w:val="00394DFF"/>
    <w:rsid w:val="003A297F"/>
    <w:rsid w:val="003D0906"/>
    <w:rsid w:val="003D55C6"/>
    <w:rsid w:val="003E10A5"/>
    <w:rsid w:val="00400378"/>
    <w:rsid w:val="0041636A"/>
    <w:rsid w:val="0046226F"/>
    <w:rsid w:val="00470326"/>
    <w:rsid w:val="00495D7D"/>
    <w:rsid w:val="004B0AA8"/>
    <w:rsid w:val="004E6729"/>
    <w:rsid w:val="00503483"/>
    <w:rsid w:val="00520D68"/>
    <w:rsid w:val="005237E7"/>
    <w:rsid w:val="00554D4D"/>
    <w:rsid w:val="005A093D"/>
    <w:rsid w:val="005A110E"/>
    <w:rsid w:val="005D2AE9"/>
    <w:rsid w:val="005E36D6"/>
    <w:rsid w:val="00605376"/>
    <w:rsid w:val="00615F0A"/>
    <w:rsid w:val="00622F68"/>
    <w:rsid w:val="0065040B"/>
    <w:rsid w:val="00660172"/>
    <w:rsid w:val="00696EA0"/>
    <w:rsid w:val="006A6D9B"/>
    <w:rsid w:val="006E64D6"/>
    <w:rsid w:val="007326D0"/>
    <w:rsid w:val="00735323"/>
    <w:rsid w:val="00744762"/>
    <w:rsid w:val="00747938"/>
    <w:rsid w:val="0077363A"/>
    <w:rsid w:val="00793C1B"/>
    <w:rsid w:val="007E1971"/>
    <w:rsid w:val="00806518"/>
    <w:rsid w:val="00821AE8"/>
    <w:rsid w:val="00863568"/>
    <w:rsid w:val="00883CB7"/>
    <w:rsid w:val="008875EF"/>
    <w:rsid w:val="008907C8"/>
    <w:rsid w:val="0089330B"/>
    <w:rsid w:val="008B4AD1"/>
    <w:rsid w:val="008B7CFA"/>
    <w:rsid w:val="008E1027"/>
    <w:rsid w:val="00910A41"/>
    <w:rsid w:val="00911843"/>
    <w:rsid w:val="009304CB"/>
    <w:rsid w:val="00940381"/>
    <w:rsid w:val="00942390"/>
    <w:rsid w:val="00957AD2"/>
    <w:rsid w:val="009718FE"/>
    <w:rsid w:val="00974282"/>
    <w:rsid w:val="009F4E46"/>
    <w:rsid w:val="00A008F1"/>
    <w:rsid w:val="00A275A2"/>
    <w:rsid w:val="00A44DBE"/>
    <w:rsid w:val="00A80241"/>
    <w:rsid w:val="00A84E27"/>
    <w:rsid w:val="00A94CE6"/>
    <w:rsid w:val="00AA552E"/>
    <w:rsid w:val="00AB347C"/>
    <w:rsid w:val="00AD718F"/>
    <w:rsid w:val="00AD7D86"/>
    <w:rsid w:val="00AE2B2B"/>
    <w:rsid w:val="00AE68AC"/>
    <w:rsid w:val="00AE7A9B"/>
    <w:rsid w:val="00AF67D3"/>
    <w:rsid w:val="00B1143E"/>
    <w:rsid w:val="00B26D58"/>
    <w:rsid w:val="00B27249"/>
    <w:rsid w:val="00B32CC6"/>
    <w:rsid w:val="00B37CB4"/>
    <w:rsid w:val="00B44DAA"/>
    <w:rsid w:val="00B66A93"/>
    <w:rsid w:val="00B94B5C"/>
    <w:rsid w:val="00B96C6F"/>
    <w:rsid w:val="00BD03F9"/>
    <w:rsid w:val="00BD13C5"/>
    <w:rsid w:val="00BD2001"/>
    <w:rsid w:val="00C42AB6"/>
    <w:rsid w:val="00C56D85"/>
    <w:rsid w:val="00C85A77"/>
    <w:rsid w:val="00CB0920"/>
    <w:rsid w:val="00D049F7"/>
    <w:rsid w:val="00D57AF4"/>
    <w:rsid w:val="00D57F22"/>
    <w:rsid w:val="00D8510A"/>
    <w:rsid w:val="00DC559B"/>
    <w:rsid w:val="00DD275F"/>
    <w:rsid w:val="00DE6637"/>
    <w:rsid w:val="00DF079C"/>
    <w:rsid w:val="00DF7C5D"/>
    <w:rsid w:val="00E16F5D"/>
    <w:rsid w:val="00E30E10"/>
    <w:rsid w:val="00E54813"/>
    <w:rsid w:val="00E66357"/>
    <w:rsid w:val="00E73E16"/>
    <w:rsid w:val="00EA55A1"/>
    <w:rsid w:val="00EA5C48"/>
    <w:rsid w:val="00EB6E9C"/>
    <w:rsid w:val="00ED169A"/>
    <w:rsid w:val="00EE25BE"/>
    <w:rsid w:val="00EE7CBA"/>
    <w:rsid w:val="00EF1CA7"/>
    <w:rsid w:val="00F26C83"/>
    <w:rsid w:val="00F45C42"/>
    <w:rsid w:val="00F62CB9"/>
    <w:rsid w:val="00F70CAA"/>
    <w:rsid w:val="00FA0653"/>
    <w:rsid w:val="00FF04EE"/>
    <w:rsid w:val="00FF2BB4"/>
    <w:rsid w:val="00FF683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1" type="connector" idref="#_x0000_s1070"/>
        <o:r id="V:Rule12" type="connector" idref="#_x0000_s1071"/>
        <o:r id="V:Rule13" type="connector" idref="#_x0000_s1072"/>
        <o:r id="V:Rule14" type="connector" idref="#_x0000_s1063"/>
        <o:r id="V:Rule15" type="connector" idref="#_x0000_s1065"/>
        <o:r id="V:Rule16" type="connector" idref="#_x0000_s1064"/>
        <o:r id="V:Rule17" type="connector" idref="#_x0000_s1069"/>
        <o:r id="V:Rule18" type="connector" idref="#_x0000_s1068"/>
        <o:r id="V:Rule19" type="connector" idref="#_x0000_s1066"/>
        <o:r id="V:Rule2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D13C5"/>
    <w:pPr>
      <w:jc w:val="both"/>
    </w:pPr>
    <w:rPr>
      <w:rFonts w:ascii="Calibri" w:hAnsi="Calibri"/>
      <w:lang w:eastAsia="en-US"/>
    </w:rPr>
  </w:style>
  <w:style w:type="paragraph" w:styleId="Heading1">
    <w:name w:val="heading 1"/>
    <w:next w:val="BodyText"/>
    <w:qFormat/>
    <w:rsid w:val="00070817"/>
    <w:pPr>
      <w:keepNext/>
      <w:numPr>
        <w:numId w:val="10"/>
      </w:numPr>
      <w:tabs>
        <w:tab w:val="clear" w:pos="567"/>
      </w:tabs>
      <w:spacing w:before="360" w:after="60"/>
      <w:ind w:left="709" w:hanging="709"/>
      <w:outlineLvl w:val="0"/>
    </w:pPr>
    <w:rPr>
      <w:rFonts w:ascii="Calibri" w:hAnsi="Calibri"/>
      <w:b/>
      <w:caps/>
      <w:kern w:val="28"/>
      <w:sz w:val="22"/>
      <w:lang w:eastAsia="en-US"/>
    </w:rPr>
  </w:style>
  <w:style w:type="paragraph" w:styleId="Heading2">
    <w:name w:val="heading 2"/>
    <w:next w:val="Bullet1"/>
    <w:qFormat/>
    <w:rsid w:val="00974282"/>
    <w:pPr>
      <w:keepNext/>
      <w:numPr>
        <w:ilvl w:val="1"/>
        <w:numId w:val="10"/>
      </w:numPr>
      <w:spacing w:before="360" w:after="60"/>
      <w:outlineLvl w:val="1"/>
    </w:pPr>
    <w:rPr>
      <w:rFonts w:ascii="Calibri" w:hAnsi="Calibri"/>
      <w:b/>
      <w:sz w:val="22"/>
      <w:lang w:eastAsia="en-US"/>
    </w:rPr>
  </w:style>
  <w:style w:type="paragraph" w:styleId="Heading3">
    <w:name w:val="heading 3"/>
    <w:basedOn w:val="Normal"/>
    <w:next w:val="BodyText1"/>
    <w:qFormat/>
    <w:rsid w:val="00974282"/>
    <w:pPr>
      <w:keepNext/>
      <w:numPr>
        <w:ilvl w:val="2"/>
        <w:numId w:val="10"/>
      </w:numPr>
      <w:tabs>
        <w:tab w:val="clear" w:pos="720"/>
      </w:tabs>
      <w:spacing w:before="240" w:after="60"/>
      <w:ind w:left="709" w:hanging="709"/>
      <w:outlineLvl w:val="2"/>
    </w:pPr>
    <w:rPr>
      <w:sz w:val="22"/>
      <w:u w:val="single"/>
    </w:rPr>
  </w:style>
  <w:style w:type="paragraph" w:styleId="Heading4">
    <w:name w:val="heading 4"/>
    <w:basedOn w:val="Normal"/>
    <w:next w:val="Normal"/>
    <w:unhideWhenUsed/>
    <w:qFormat/>
    <w:rsid w:val="00187C20"/>
    <w:pPr>
      <w:keepNext/>
      <w:numPr>
        <w:ilvl w:val="3"/>
        <w:numId w:val="10"/>
      </w:numPr>
      <w:spacing w:before="240" w:after="240"/>
      <w:jc w:val="left"/>
      <w:outlineLvl w:val="3"/>
    </w:pPr>
    <w:rPr>
      <w:rFonts w:ascii="Arial" w:hAnsi="Arial" w:cs="Arial"/>
      <w:b/>
      <w:bCs/>
      <w:caps/>
      <w:sz w:val="22"/>
    </w:rPr>
  </w:style>
  <w:style w:type="paragraph" w:styleId="Heading5">
    <w:name w:val="heading 5"/>
    <w:basedOn w:val="Normal"/>
    <w:next w:val="Normal"/>
    <w:semiHidden/>
    <w:unhideWhenUsed/>
    <w:qFormat/>
    <w:rsid w:val="00187C20"/>
    <w:pPr>
      <w:numPr>
        <w:ilvl w:val="4"/>
        <w:numId w:val="10"/>
      </w:numPr>
      <w:spacing w:before="240" w:after="60"/>
      <w:outlineLvl w:val="4"/>
    </w:pPr>
    <w:rPr>
      <w:b/>
      <w:bCs/>
      <w:i/>
      <w:iCs/>
      <w:sz w:val="26"/>
      <w:szCs w:val="26"/>
    </w:rPr>
  </w:style>
  <w:style w:type="paragraph" w:styleId="Heading6">
    <w:name w:val="heading 6"/>
    <w:basedOn w:val="Normal"/>
    <w:next w:val="Normal"/>
    <w:semiHidden/>
    <w:unhideWhenUsed/>
    <w:qFormat/>
    <w:rsid w:val="00187C20"/>
    <w:pPr>
      <w:numPr>
        <w:ilvl w:val="5"/>
        <w:numId w:val="10"/>
      </w:numPr>
      <w:spacing w:before="240" w:after="60"/>
      <w:outlineLvl w:val="5"/>
    </w:pPr>
    <w:rPr>
      <w:rFonts w:ascii="Times New Roman" w:hAnsi="Times New Roman"/>
      <w:b/>
      <w:bCs/>
      <w:sz w:val="22"/>
      <w:szCs w:val="22"/>
    </w:rPr>
  </w:style>
  <w:style w:type="paragraph" w:styleId="Heading7">
    <w:name w:val="heading 7"/>
    <w:basedOn w:val="Normal"/>
    <w:next w:val="Normal"/>
    <w:semiHidden/>
    <w:unhideWhenUsed/>
    <w:qFormat/>
    <w:rsid w:val="00187C20"/>
    <w:pPr>
      <w:numPr>
        <w:ilvl w:val="6"/>
        <w:numId w:val="10"/>
      </w:numPr>
      <w:spacing w:before="240" w:after="60"/>
      <w:outlineLvl w:val="6"/>
    </w:pPr>
    <w:rPr>
      <w:rFonts w:ascii="Times New Roman" w:hAnsi="Times New Roman"/>
      <w:szCs w:val="24"/>
    </w:rPr>
  </w:style>
  <w:style w:type="paragraph" w:styleId="Heading8">
    <w:name w:val="heading 8"/>
    <w:basedOn w:val="Normal"/>
    <w:next w:val="Normal"/>
    <w:semiHidden/>
    <w:unhideWhenUsed/>
    <w:qFormat/>
    <w:rsid w:val="00187C20"/>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semiHidden/>
    <w:unhideWhenUsed/>
    <w:qFormat/>
    <w:rsid w:val="00187C20"/>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5F0A"/>
    <w:pPr>
      <w:tabs>
        <w:tab w:val="center" w:pos="4153"/>
        <w:tab w:val="right" w:pos="8306"/>
      </w:tabs>
    </w:pPr>
  </w:style>
  <w:style w:type="paragraph" w:customStyle="1" w:styleId="Bullet1">
    <w:name w:val="Bullet1"/>
    <w:basedOn w:val="Normal"/>
    <w:qFormat/>
    <w:rsid w:val="00974282"/>
    <w:pPr>
      <w:numPr>
        <w:numId w:val="1"/>
      </w:numPr>
      <w:tabs>
        <w:tab w:val="clear" w:pos="425"/>
      </w:tabs>
      <w:spacing w:before="60" w:after="60"/>
      <w:ind w:left="1134"/>
    </w:pPr>
  </w:style>
  <w:style w:type="paragraph" w:customStyle="1" w:styleId="BodyText1">
    <w:name w:val="Body Text 1"/>
    <w:basedOn w:val="Heading2"/>
    <w:semiHidden/>
    <w:rsid w:val="00615F0A"/>
    <w:pPr>
      <w:keepNext w:val="0"/>
      <w:numPr>
        <w:ilvl w:val="0"/>
        <w:numId w:val="0"/>
      </w:numPr>
      <w:spacing w:before="0" w:after="0"/>
      <w:ind w:left="709"/>
    </w:pPr>
    <w:rPr>
      <w:rFonts w:ascii="Garamond" w:hAnsi="Garamond"/>
      <w:b w:val="0"/>
      <w:sz w:val="24"/>
    </w:rPr>
  </w:style>
  <w:style w:type="paragraph" w:styleId="Footer">
    <w:name w:val="footer"/>
    <w:basedOn w:val="Normal"/>
    <w:rsid w:val="00615F0A"/>
    <w:pPr>
      <w:pBdr>
        <w:top w:val="single" w:sz="4" w:space="1" w:color="auto"/>
      </w:pBdr>
      <w:tabs>
        <w:tab w:val="right" w:pos="9639"/>
      </w:tabs>
    </w:pPr>
    <w:rPr>
      <w:rFonts w:ascii="Arial" w:hAnsi="Arial"/>
      <w:sz w:val="16"/>
    </w:rPr>
  </w:style>
  <w:style w:type="paragraph" w:customStyle="1" w:styleId="Bullet2">
    <w:name w:val="Bullet2"/>
    <w:basedOn w:val="Bullet1"/>
    <w:qFormat/>
    <w:rsid w:val="00615F0A"/>
    <w:pPr>
      <w:numPr>
        <w:numId w:val="4"/>
      </w:numPr>
      <w:tabs>
        <w:tab w:val="clear" w:pos="2628"/>
      </w:tabs>
      <w:spacing w:before="0" w:after="0"/>
      <w:ind w:left="1418"/>
    </w:pPr>
  </w:style>
  <w:style w:type="character" w:styleId="PageNumber">
    <w:name w:val="page number"/>
    <w:basedOn w:val="DefaultParagraphFont"/>
    <w:semiHidden/>
    <w:rsid w:val="00615F0A"/>
    <w:rPr>
      <w:rFonts w:ascii="Arial" w:hAnsi="Arial"/>
      <w:sz w:val="16"/>
    </w:rPr>
  </w:style>
  <w:style w:type="paragraph" w:styleId="BodyText">
    <w:name w:val="Body Text"/>
    <w:basedOn w:val="Normal"/>
    <w:qFormat/>
    <w:rsid w:val="00E66357"/>
    <w:pPr>
      <w:spacing w:before="120" w:after="120"/>
      <w:ind w:left="709"/>
    </w:pPr>
  </w:style>
  <w:style w:type="paragraph" w:customStyle="1" w:styleId="Sub-heading">
    <w:name w:val="Sub-heading"/>
    <w:next w:val="BodyText"/>
    <w:qFormat/>
    <w:rsid w:val="00140B22"/>
    <w:pPr>
      <w:spacing w:before="180" w:after="60"/>
      <w:ind w:left="709"/>
    </w:pPr>
    <w:rPr>
      <w:rFonts w:ascii="Calibri" w:hAnsi="Calibri"/>
      <w:i/>
      <w:u w:val="single"/>
      <w:lang w:eastAsia="en-US"/>
    </w:rPr>
  </w:style>
  <w:style w:type="paragraph" w:customStyle="1" w:styleId="Num-List">
    <w:name w:val="Num-List"/>
    <w:basedOn w:val="Normal"/>
    <w:qFormat/>
    <w:rsid w:val="00974282"/>
    <w:pPr>
      <w:numPr>
        <w:numId w:val="11"/>
      </w:numPr>
      <w:tabs>
        <w:tab w:val="clear" w:pos="1429"/>
      </w:tabs>
      <w:spacing w:before="60" w:after="60"/>
      <w:ind w:left="1134" w:hanging="425"/>
      <w:jc w:val="left"/>
    </w:pPr>
  </w:style>
  <w:style w:type="paragraph" w:styleId="BalloonText">
    <w:name w:val="Balloon Text"/>
    <w:basedOn w:val="Normal"/>
    <w:link w:val="BalloonTextChar"/>
    <w:semiHidden/>
    <w:unhideWhenUsed/>
    <w:rsid w:val="00140B22"/>
    <w:rPr>
      <w:rFonts w:ascii="Tahoma" w:hAnsi="Tahoma" w:cs="Tahoma"/>
      <w:sz w:val="16"/>
      <w:szCs w:val="16"/>
    </w:rPr>
  </w:style>
  <w:style w:type="character" w:customStyle="1" w:styleId="BalloonTextChar">
    <w:name w:val="Balloon Text Char"/>
    <w:basedOn w:val="DefaultParagraphFont"/>
    <w:link w:val="BalloonText"/>
    <w:semiHidden/>
    <w:rsid w:val="00140B22"/>
    <w:rPr>
      <w:rFonts w:ascii="Tahoma" w:hAnsi="Tahoma" w:cs="Tahoma"/>
      <w:sz w:val="16"/>
      <w:szCs w:val="16"/>
      <w:lang w:eastAsia="en-US"/>
    </w:rPr>
  </w:style>
  <w:style w:type="paragraph" w:styleId="ListParagraph">
    <w:name w:val="List Paragraph"/>
    <w:basedOn w:val="Normal"/>
    <w:uiPriority w:val="34"/>
    <w:rsid w:val="00092A77"/>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cid:image001.png@01CBDF2E.B7E2B9D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cid:image002.png@01CBDF2E.B7E2B9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P:\Pegasus%20Templates\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0057-4F04-49F0-B893-4B8E6BD4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Paper.dotx</Template>
  <TotalTime>2</TotalTime>
  <Pages>6</Pages>
  <Words>1438</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 FOR BOARD CONSIDERATION</vt:lpstr>
    </vt:vector>
  </TitlesOfParts>
  <Company>PMG</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 BOARD CONSIDERATION</dc:title>
  <dc:subject/>
  <dc:creator>Clairem</dc:creator>
  <cp:keywords/>
  <dc:description/>
  <cp:lastModifiedBy>Clairem</cp:lastModifiedBy>
  <cp:revision>4</cp:revision>
  <cp:lastPrinted>2011-03-11T02:21:00Z</cp:lastPrinted>
  <dcterms:created xsi:type="dcterms:W3CDTF">2011-03-11T00:43:00Z</dcterms:created>
  <dcterms:modified xsi:type="dcterms:W3CDTF">2011-03-11T02:23:00Z</dcterms:modified>
</cp:coreProperties>
</file>